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Look w:val="04A0" w:firstRow="1" w:lastRow="0" w:firstColumn="1" w:lastColumn="0" w:noHBand="0" w:noVBand="1"/>
      </w:tblPr>
      <w:tblGrid>
        <w:gridCol w:w="9487"/>
      </w:tblGrid>
      <w:tr w:rsidR="00EF7C8F" w14:paraId="62A1AD1D" w14:textId="77777777" w:rsidTr="00573060">
        <w:trPr>
          <w:trHeight w:val="708"/>
        </w:trPr>
        <w:tc>
          <w:tcPr>
            <w:tcW w:w="9493" w:type="dxa"/>
          </w:tcPr>
          <w:p w14:paraId="5F4F0215" w14:textId="29E4E072" w:rsidR="00EF7C8F" w:rsidRPr="009C04C3" w:rsidRDefault="00EF7C8F" w:rsidP="00573060">
            <w:pPr>
              <w:spacing w:line="276" w:lineRule="auto"/>
              <w:jc w:val="center"/>
              <w:rPr>
                <w:rFonts w:ascii="Arial" w:hAnsi="Arial"/>
                <w:b/>
                <w:snapToGrid w:val="0"/>
                <w:color w:val="000000"/>
                <w:sz w:val="24"/>
              </w:rPr>
            </w:pPr>
            <w:bookmarkStart w:id="0" w:name="_Hlk60148253"/>
            <w:r w:rsidRPr="009C04C3">
              <w:rPr>
                <w:rFonts w:ascii="Arial" w:hAnsi="Arial"/>
                <w:b/>
                <w:snapToGrid w:val="0"/>
                <w:color w:val="000000"/>
                <w:sz w:val="24"/>
              </w:rPr>
              <w:t xml:space="preserve">FORMATO </w:t>
            </w:r>
            <w:proofErr w:type="spellStart"/>
            <w:r w:rsidRPr="009C04C3">
              <w:rPr>
                <w:rFonts w:ascii="Arial" w:hAnsi="Arial"/>
                <w:b/>
                <w:snapToGrid w:val="0"/>
                <w:color w:val="000000"/>
                <w:sz w:val="24"/>
              </w:rPr>
              <w:t>N°</w:t>
            </w:r>
            <w:proofErr w:type="spellEnd"/>
            <w:r w:rsidRPr="009C04C3">
              <w:rPr>
                <w:rFonts w:ascii="Arial" w:hAnsi="Arial"/>
                <w:b/>
                <w:snapToGrid w:val="0"/>
                <w:color w:val="000000"/>
                <w:sz w:val="24"/>
              </w:rPr>
              <w:t xml:space="preserve"> 04-A:</w:t>
            </w:r>
          </w:p>
          <w:p w14:paraId="55636EE2" w14:textId="60210834" w:rsidR="00EF7C8F" w:rsidRPr="00EF7C8F" w:rsidRDefault="00EF7C8F" w:rsidP="00573060">
            <w:pPr>
              <w:spacing w:line="276" w:lineRule="auto"/>
              <w:jc w:val="center"/>
              <w:rPr>
                <w:rFonts w:ascii="Arial" w:hAnsi="Arial"/>
                <w:b/>
                <w:snapToGrid w:val="0"/>
                <w:color w:val="000000"/>
                <w:sz w:val="24"/>
              </w:rPr>
            </w:pPr>
            <w:r w:rsidRPr="009C04C3">
              <w:rPr>
                <w:rFonts w:ascii="Arial" w:hAnsi="Arial"/>
                <w:b/>
                <w:snapToGrid w:val="0"/>
                <w:color w:val="000000"/>
                <w:sz w:val="24"/>
              </w:rPr>
              <w:t>INDICADOR DE BRECHA</w:t>
            </w:r>
          </w:p>
        </w:tc>
      </w:tr>
    </w:tbl>
    <w:p w14:paraId="4AB9ECEF" w14:textId="6F7B29A5" w:rsidR="007C4F1D" w:rsidRDefault="007C4F1D"/>
    <w:tbl>
      <w:tblPr>
        <w:tblStyle w:val="Tablaconcuadrcula"/>
        <w:tblW w:w="9493" w:type="dxa"/>
        <w:tblLook w:val="04A0" w:firstRow="1" w:lastRow="0" w:firstColumn="1" w:lastColumn="0" w:noHBand="0" w:noVBand="1"/>
      </w:tblPr>
      <w:tblGrid>
        <w:gridCol w:w="1413"/>
        <w:gridCol w:w="566"/>
        <w:gridCol w:w="7514"/>
      </w:tblGrid>
      <w:tr w:rsidR="0003669C" w:rsidRPr="0003669C" w14:paraId="68950F46" w14:textId="77777777" w:rsidTr="00501759">
        <w:trPr>
          <w:trHeight w:val="401"/>
        </w:trPr>
        <w:tc>
          <w:tcPr>
            <w:tcW w:w="1413" w:type="dxa"/>
            <w:vAlign w:val="center"/>
          </w:tcPr>
          <w:p w14:paraId="5382E33E" w14:textId="473C8DEA" w:rsidR="00DE2D8A" w:rsidRPr="0003669C" w:rsidRDefault="00DE2D8A" w:rsidP="009F6EE7">
            <w:pPr>
              <w:rPr>
                <w:rFonts w:ascii="Arial" w:hAnsi="Arial" w:cs="Arial"/>
                <w:b/>
                <w:bCs/>
                <w:sz w:val="16"/>
                <w:szCs w:val="16"/>
              </w:rPr>
            </w:pPr>
            <w:r w:rsidRPr="0003669C">
              <w:rPr>
                <w:rFonts w:ascii="Arial" w:hAnsi="Arial" w:cs="Arial"/>
                <w:b/>
                <w:bCs/>
                <w:sz w:val="16"/>
                <w:szCs w:val="16"/>
              </w:rPr>
              <w:t>Sector Responsable</w:t>
            </w:r>
          </w:p>
        </w:tc>
        <w:tc>
          <w:tcPr>
            <w:tcW w:w="566" w:type="dxa"/>
            <w:shd w:val="clear" w:color="auto" w:fill="auto"/>
            <w:vAlign w:val="center"/>
          </w:tcPr>
          <w:p w14:paraId="4CE4646E" w14:textId="08D5E48F" w:rsidR="00DE2D8A" w:rsidRPr="0003669C" w:rsidRDefault="00E5234F" w:rsidP="00FA37E3">
            <w:pPr>
              <w:jc w:val="center"/>
              <w:rPr>
                <w:rFonts w:ascii="Arial" w:hAnsi="Arial" w:cs="Arial"/>
                <w:sz w:val="16"/>
                <w:szCs w:val="16"/>
              </w:rPr>
            </w:pPr>
            <w:r w:rsidRPr="0003669C">
              <w:rPr>
                <w:rFonts w:ascii="Arial" w:hAnsi="Arial" w:cs="Arial"/>
                <w:sz w:val="16"/>
                <w:szCs w:val="16"/>
              </w:rPr>
              <w:t>10</w:t>
            </w:r>
          </w:p>
        </w:tc>
        <w:tc>
          <w:tcPr>
            <w:tcW w:w="7514" w:type="dxa"/>
            <w:shd w:val="clear" w:color="auto" w:fill="auto"/>
            <w:vAlign w:val="center"/>
          </w:tcPr>
          <w:p w14:paraId="70EDA9B9" w14:textId="64292507" w:rsidR="00DE2D8A" w:rsidRPr="0003669C" w:rsidRDefault="00442BBE">
            <w:pPr>
              <w:rPr>
                <w:rFonts w:ascii="Arial" w:hAnsi="Arial" w:cs="Arial"/>
                <w:sz w:val="16"/>
                <w:szCs w:val="16"/>
              </w:rPr>
            </w:pPr>
            <w:r w:rsidRPr="0003669C">
              <w:rPr>
                <w:rFonts w:ascii="Arial" w:hAnsi="Arial" w:cs="Arial"/>
                <w:sz w:val="16"/>
                <w:szCs w:val="16"/>
              </w:rPr>
              <w:t>Educación</w:t>
            </w:r>
          </w:p>
        </w:tc>
      </w:tr>
      <w:tr w:rsidR="00F73F93" w:rsidRPr="00F73F93" w14:paraId="6C0C447A" w14:textId="77777777" w:rsidTr="00501759">
        <w:trPr>
          <w:trHeight w:val="423"/>
        </w:trPr>
        <w:tc>
          <w:tcPr>
            <w:tcW w:w="1413" w:type="dxa"/>
            <w:vAlign w:val="center"/>
          </w:tcPr>
          <w:p w14:paraId="3977CE04" w14:textId="72468A0B" w:rsidR="00DE2D8A" w:rsidRPr="00F73F93" w:rsidRDefault="00B4744E" w:rsidP="009F6EE7">
            <w:pPr>
              <w:rPr>
                <w:rFonts w:ascii="Arial" w:hAnsi="Arial" w:cs="Arial"/>
                <w:b/>
                <w:bCs/>
                <w:sz w:val="16"/>
                <w:szCs w:val="16"/>
              </w:rPr>
            </w:pPr>
            <w:r w:rsidRPr="00F73F93">
              <w:rPr>
                <w:rFonts w:ascii="Arial" w:hAnsi="Arial" w:cs="Arial"/>
                <w:b/>
                <w:bCs/>
                <w:sz w:val="16"/>
                <w:szCs w:val="16"/>
              </w:rPr>
              <w:t xml:space="preserve">Nombre del Indicador </w:t>
            </w:r>
          </w:p>
        </w:tc>
        <w:tc>
          <w:tcPr>
            <w:tcW w:w="566" w:type="dxa"/>
            <w:shd w:val="clear" w:color="auto" w:fill="auto"/>
            <w:vAlign w:val="center"/>
          </w:tcPr>
          <w:p w14:paraId="3172FC95" w14:textId="6A7E7DBD" w:rsidR="00DE2D8A" w:rsidRPr="00F73F93" w:rsidRDefault="00F73F93" w:rsidP="004B0AA4">
            <w:pPr>
              <w:jc w:val="center"/>
              <w:rPr>
                <w:rFonts w:ascii="Arial" w:hAnsi="Arial" w:cs="Arial"/>
                <w:sz w:val="16"/>
                <w:szCs w:val="16"/>
              </w:rPr>
            </w:pPr>
            <w:r w:rsidRPr="00F73F93">
              <w:rPr>
                <w:rFonts w:ascii="Arial" w:hAnsi="Arial" w:cs="Arial"/>
                <w:sz w:val="16"/>
                <w:szCs w:val="16"/>
              </w:rPr>
              <w:t>498</w:t>
            </w:r>
          </w:p>
        </w:tc>
        <w:tc>
          <w:tcPr>
            <w:tcW w:w="7514" w:type="dxa"/>
            <w:shd w:val="clear" w:color="auto" w:fill="auto"/>
            <w:vAlign w:val="center"/>
          </w:tcPr>
          <w:p w14:paraId="2350C117" w14:textId="3026FB01" w:rsidR="00DE2D8A" w:rsidRPr="00F73F93" w:rsidRDefault="00F73F93">
            <w:pPr>
              <w:rPr>
                <w:rFonts w:ascii="Arial" w:hAnsi="Arial" w:cs="Arial"/>
                <w:sz w:val="16"/>
                <w:szCs w:val="16"/>
              </w:rPr>
            </w:pPr>
            <w:r w:rsidRPr="00F73F93">
              <w:rPr>
                <w:rFonts w:ascii="Arial" w:hAnsi="Arial" w:cs="Arial"/>
                <w:sz w:val="16"/>
                <w:szCs w:val="16"/>
              </w:rPr>
              <w:t xml:space="preserve">Porcentaje de instalaciones de la administración central </w:t>
            </w:r>
            <w:r w:rsidR="0045757D">
              <w:rPr>
                <w:rFonts w:ascii="Arial" w:hAnsi="Arial" w:cs="Arial"/>
                <w:sz w:val="16"/>
                <w:szCs w:val="16"/>
              </w:rPr>
              <w:t xml:space="preserve">de las universidades públicas </w:t>
            </w:r>
            <w:r w:rsidR="008174BC" w:rsidRPr="008174BC">
              <w:rPr>
                <w:rFonts w:ascii="Arial" w:hAnsi="Arial" w:cs="Arial"/>
                <w:sz w:val="16"/>
                <w:szCs w:val="16"/>
              </w:rPr>
              <w:t>en condiciones inadecuadas</w:t>
            </w:r>
          </w:p>
        </w:tc>
      </w:tr>
      <w:tr w:rsidR="00F73F93" w:rsidRPr="00F73F93" w14:paraId="11A718E3" w14:textId="77777777" w:rsidTr="00501759">
        <w:trPr>
          <w:trHeight w:val="448"/>
        </w:trPr>
        <w:tc>
          <w:tcPr>
            <w:tcW w:w="1413" w:type="dxa"/>
            <w:vAlign w:val="center"/>
          </w:tcPr>
          <w:p w14:paraId="57EC8604" w14:textId="7E21759A" w:rsidR="00FA37E3" w:rsidRPr="00F73F93" w:rsidRDefault="00FA37E3" w:rsidP="009F6EE7">
            <w:pPr>
              <w:rPr>
                <w:rFonts w:ascii="Arial" w:hAnsi="Arial" w:cs="Arial"/>
                <w:sz w:val="16"/>
                <w:szCs w:val="16"/>
              </w:rPr>
            </w:pPr>
            <w:r w:rsidRPr="00F73F93">
              <w:rPr>
                <w:rFonts w:ascii="Arial" w:hAnsi="Arial" w:cs="Arial"/>
                <w:b/>
                <w:bCs/>
                <w:sz w:val="16"/>
                <w:szCs w:val="16"/>
              </w:rPr>
              <w:t>Tipo de Indicador</w:t>
            </w:r>
          </w:p>
        </w:tc>
        <w:tc>
          <w:tcPr>
            <w:tcW w:w="8080" w:type="dxa"/>
            <w:gridSpan w:val="2"/>
            <w:shd w:val="clear" w:color="auto" w:fill="auto"/>
            <w:vAlign w:val="center"/>
          </w:tcPr>
          <w:p w14:paraId="6994EF24" w14:textId="56476DD2" w:rsidR="00FA37E3" w:rsidRPr="00F73F93" w:rsidRDefault="00442BBE">
            <w:pPr>
              <w:rPr>
                <w:rFonts w:ascii="Arial" w:hAnsi="Arial" w:cs="Arial"/>
                <w:sz w:val="16"/>
                <w:szCs w:val="16"/>
              </w:rPr>
            </w:pPr>
            <w:r w:rsidRPr="00F73F93">
              <w:rPr>
                <w:rFonts w:ascii="Arial" w:hAnsi="Arial" w:cs="Arial"/>
                <w:sz w:val="16"/>
                <w:szCs w:val="16"/>
              </w:rPr>
              <w:t>Calidad</w:t>
            </w:r>
          </w:p>
        </w:tc>
      </w:tr>
      <w:tr w:rsidR="00F73F93" w:rsidRPr="00F73F93" w14:paraId="0C106DDE" w14:textId="77777777" w:rsidTr="00501759">
        <w:trPr>
          <w:trHeight w:val="430"/>
        </w:trPr>
        <w:tc>
          <w:tcPr>
            <w:tcW w:w="1413" w:type="dxa"/>
            <w:vAlign w:val="center"/>
          </w:tcPr>
          <w:p w14:paraId="52728A04" w14:textId="6694EFAD" w:rsidR="00DE2D8A" w:rsidRPr="00F73F93" w:rsidRDefault="00DE2D8A" w:rsidP="009F6EE7">
            <w:pPr>
              <w:rPr>
                <w:rFonts w:ascii="Arial" w:hAnsi="Arial" w:cs="Arial"/>
                <w:sz w:val="16"/>
                <w:szCs w:val="16"/>
              </w:rPr>
            </w:pPr>
            <w:r w:rsidRPr="00F73F93">
              <w:rPr>
                <w:rFonts w:ascii="Arial" w:hAnsi="Arial" w:cs="Arial"/>
                <w:b/>
                <w:bCs/>
                <w:sz w:val="16"/>
                <w:szCs w:val="16"/>
              </w:rPr>
              <w:t>Unidad de Medida</w:t>
            </w:r>
          </w:p>
        </w:tc>
        <w:tc>
          <w:tcPr>
            <w:tcW w:w="566" w:type="dxa"/>
            <w:shd w:val="clear" w:color="auto" w:fill="auto"/>
            <w:vAlign w:val="center"/>
          </w:tcPr>
          <w:p w14:paraId="2FDA500C" w14:textId="2EB5536F" w:rsidR="00DE2D8A" w:rsidRPr="00F73F93" w:rsidRDefault="00F73F93" w:rsidP="00FA37E3">
            <w:pPr>
              <w:jc w:val="center"/>
              <w:rPr>
                <w:rFonts w:ascii="Arial" w:hAnsi="Arial" w:cs="Arial"/>
                <w:sz w:val="16"/>
                <w:szCs w:val="16"/>
              </w:rPr>
            </w:pPr>
            <w:r w:rsidRPr="00F73F93">
              <w:rPr>
                <w:rFonts w:ascii="Arial" w:hAnsi="Arial" w:cs="Arial"/>
                <w:sz w:val="16"/>
                <w:szCs w:val="16"/>
              </w:rPr>
              <w:t>247</w:t>
            </w:r>
          </w:p>
        </w:tc>
        <w:tc>
          <w:tcPr>
            <w:tcW w:w="7514" w:type="dxa"/>
            <w:shd w:val="clear" w:color="auto" w:fill="auto"/>
            <w:vAlign w:val="center"/>
          </w:tcPr>
          <w:p w14:paraId="653DB9DE" w14:textId="505090FC" w:rsidR="00DE2D8A" w:rsidRPr="00F73F93" w:rsidRDefault="00F73F93" w:rsidP="009D00E4">
            <w:pPr>
              <w:rPr>
                <w:rFonts w:ascii="Arial" w:hAnsi="Arial" w:cs="Arial"/>
                <w:sz w:val="16"/>
                <w:szCs w:val="16"/>
              </w:rPr>
            </w:pPr>
            <w:r w:rsidRPr="00F73F93">
              <w:rPr>
                <w:rFonts w:ascii="Arial" w:hAnsi="Arial" w:cs="Arial"/>
                <w:sz w:val="16"/>
                <w:szCs w:val="16"/>
              </w:rPr>
              <w:t>Instalaci</w:t>
            </w:r>
            <w:r w:rsidR="00447930">
              <w:rPr>
                <w:rFonts w:ascii="Arial" w:hAnsi="Arial" w:cs="Arial"/>
                <w:sz w:val="16"/>
                <w:szCs w:val="16"/>
              </w:rPr>
              <w:t>ón</w:t>
            </w:r>
            <w:r w:rsidRPr="00F73F93">
              <w:rPr>
                <w:rFonts w:ascii="Arial" w:hAnsi="Arial" w:cs="Arial"/>
                <w:sz w:val="16"/>
                <w:szCs w:val="16"/>
              </w:rPr>
              <w:t xml:space="preserve"> </w:t>
            </w:r>
            <w:r w:rsidR="0045757D">
              <w:rPr>
                <w:rFonts w:ascii="Arial" w:hAnsi="Arial" w:cs="Arial"/>
                <w:sz w:val="16"/>
                <w:szCs w:val="16"/>
              </w:rPr>
              <w:t>de la administración central</w:t>
            </w:r>
          </w:p>
        </w:tc>
      </w:tr>
      <w:tr w:rsidR="00F73F93" w:rsidRPr="00F73F93" w14:paraId="35F1A4CD" w14:textId="77777777" w:rsidTr="00501759">
        <w:trPr>
          <w:trHeight w:val="430"/>
        </w:trPr>
        <w:tc>
          <w:tcPr>
            <w:tcW w:w="1413" w:type="dxa"/>
            <w:vAlign w:val="center"/>
          </w:tcPr>
          <w:p w14:paraId="3A2665BE" w14:textId="551D1317" w:rsidR="00C73B6D" w:rsidRPr="00F73F93" w:rsidRDefault="00C73B6D" w:rsidP="009F6EE7">
            <w:pPr>
              <w:rPr>
                <w:rFonts w:ascii="Arial" w:hAnsi="Arial" w:cs="Arial"/>
                <w:b/>
                <w:bCs/>
                <w:sz w:val="16"/>
                <w:szCs w:val="16"/>
              </w:rPr>
            </w:pPr>
            <w:r w:rsidRPr="00F73F93">
              <w:rPr>
                <w:rFonts w:ascii="Arial" w:hAnsi="Arial" w:cs="Arial"/>
                <w:b/>
                <w:bCs/>
                <w:sz w:val="16"/>
                <w:szCs w:val="16"/>
              </w:rPr>
              <w:t>Nivel de desagregación</w:t>
            </w:r>
          </w:p>
        </w:tc>
        <w:tc>
          <w:tcPr>
            <w:tcW w:w="8080" w:type="dxa"/>
            <w:gridSpan w:val="2"/>
            <w:shd w:val="clear" w:color="auto" w:fill="auto"/>
            <w:vAlign w:val="center"/>
          </w:tcPr>
          <w:p w14:paraId="76D3C9CD" w14:textId="45D808E8" w:rsidR="00C73B6D" w:rsidRPr="00F73F93" w:rsidRDefault="00C422C0">
            <w:pPr>
              <w:rPr>
                <w:rFonts w:ascii="Arial" w:hAnsi="Arial" w:cs="Arial"/>
                <w:sz w:val="16"/>
                <w:szCs w:val="16"/>
              </w:rPr>
            </w:pPr>
            <w:r w:rsidRPr="00F73F93">
              <w:rPr>
                <w:rFonts w:ascii="Arial" w:hAnsi="Arial" w:cs="Arial"/>
                <w:sz w:val="16"/>
                <w:szCs w:val="16"/>
              </w:rPr>
              <w:t>Nacional</w:t>
            </w:r>
          </w:p>
        </w:tc>
      </w:tr>
    </w:tbl>
    <w:p w14:paraId="49FC6AB5" w14:textId="15D377CD" w:rsidR="00EF7C8F" w:rsidRPr="00F73F93" w:rsidRDefault="00EF7C8F">
      <w:pPr>
        <w:rPr>
          <w:rFonts w:ascii="Arial" w:hAnsi="Arial" w:cs="Arial"/>
          <w:color w:val="FF0000"/>
          <w:sz w:val="20"/>
          <w:szCs w:val="20"/>
        </w:rPr>
      </w:pPr>
    </w:p>
    <w:tbl>
      <w:tblPr>
        <w:tblStyle w:val="Tablaconcuadrcula"/>
        <w:tblW w:w="948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120"/>
        <w:gridCol w:w="3384"/>
        <w:gridCol w:w="234"/>
        <w:gridCol w:w="1587"/>
        <w:gridCol w:w="3158"/>
      </w:tblGrid>
      <w:tr w:rsidR="00F73F93" w:rsidRPr="00F73F93" w14:paraId="157B288C" w14:textId="77777777" w:rsidTr="00E01366">
        <w:trPr>
          <w:trHeight w:val="58"/>
        </w:trPr>
        <w:tc>
          <w:tcPr>
            <w:tcW w:w="948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B05A0A" w14:textId="24DB213C" w:rsidR="00E01366" w:rsidRPr="00F73F93" w:rsidRDefault="00E01366" w:rsidP="00E01366">
            <w:pPr>
              <w:rPr>
                <w:rFonts w:ascii="Arial" w:hAnsi="Arial" w:cs="Arial"/>
                <w:b/>
                <w:bCs/>
              </w:rPr>
            </w:pPr>
            <w:r w:rsidRPr="00F73F93">
              <w:rPr>
                <w:rFonts w:ascii="Arial" w:hAnsi="Arial" w:cs="Arial"/>
                <w:b/>
                <w:bCs/>
              </w:rPr>
              <w:t>Servicio y Tipología</w:t>
            </w:r>
          </w:p>
        </w:tc>
      </w:tr>
      <w:tr w:rsidR="00F73F93" w:rsidRPr="00F73F93" w14:paraId="3662FA07" w14:textId="77777777" w:rsidTr="00E01366">
        <w:trPr>
          <w:trHeight w:val="58"/>
        </w:trPr>
        <w:tc>
          <w:tcPr>
            <w:tcW w:w="450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D86A30" w14:textId="77777777" w:rsidR="00E01366" w:rsidRPr="00F73F93" w:rsidRDefault="00E01366" w:rsidP="00D760A0">
            <w:pPr>
              <w:jc w:val="center"/>
              <w:rPr>
                <w:rFonts w:ascii="Arial" w:hAnsi="Arial" w:cs="Arial"/>
                <w:b/>
                <w:bCs/>
                <w:sz w:val="16"/>
                <w:szCs w:val="16"/>
              </w:rPr>
            </w:pPr>
            <w:r w:rsidRPr="00F73F93">
              <w:rPr>
                <w:rFonts w:ascii="Arial" w:hAnsi="Arial" w:cs="Arial"/>
                <w:b/>
                <w:bCs/>
                <w:sz w:val="16"/>
                <w:szCs w:val="16"/>
              </w:rPr>
              <w:t>Servicio</w:t>
            </w:r>
          </w:p>
        </w:tc>
        <w:tc>
          <w:tcPr>
            <w:tcW w:w="234" w:type="dxa"/>
            <w:vMerge w:val="restart"/>
            <w:tcBorders>
              <w:left w:val="single" w:sz="4" w:space="0" w:color="auto"/>
              <w:right w:val="single" w:sz="4" w:space="0" w:color="auto"/>
            </w:tcBorders>
            <w:shd w:val="clear" w:color="auto" w:fill="FFFFFF" w:themeFill="background1"/>
            <w:vAlign w:val="center"/>
          </w:tcPr>
          <w:p w14:paraId="7884112F" w14:textId="77777777" w:rsidR="00E01366" w:rsidRPr="00F73F93" w:rsidRDefault="00E01366" w:rsidP="00D760A0">
            <w:pPr>
              <w:jc w:val="center"/>
              <w:rPr>
                <w:rFonts w:ascii="Arial" w:hAnsi="Arial" w:cs="Arial"/>
                <w:b/>
                <w:bCs/>
                <w:sz w:val="16"/>
                <w:szCs w:val="16"/>
              </w:rPr>
            </w:pPr>
          </w:p>
        </w:tc>
        <w:tc>
          <w:tcPr>
            <w:tcW w:w="47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41E7F" w14:textId="77777777" w:rsidR="00E01366" w:rsidRPr="00F73F93" w:rsidRDefault="00E01366" w:rsidP="00D760A0">
            <w:pPr>
              <w:jc w:val="center"/>
              <w:rPr>
                <w:rFonts w:ascii="Arial" w:hAnsi="Arial" w:cs="Arial"/>
                <w:b/>
                <w:bCs/>
                <w:sz w:val="16"/>
                <w:szCs w:val="16"/>
              </w:rPr>
            </w:pPr>
            <w:r w:rsidRPr="00F73F93">
              <w:rPr>
                <w:rFonts w:ascii="Arial" w:hAnsi="Arial" w:cs="Arial"/>
                <w:b/>
                <w:bCs/>
                <w:sz w:val="16"/>
                <w:szCs w:val="16"/>
              </w:rPr>
              <w:t>Tipología</w:t>
            </w:r>
          </w:p>
        </w:tc>
      </w:tr>
      <w:tr w:rsidR="00F73F93" w:rsidRPr="00F73F93" w14:paraId="2ABCBF34" w14:textId="77777777" w:rsidTr="00E01366">
        <w:trPr>
          <w:trHeight w:val="333"/>
        </w:trPr>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E1EBD2E" w14:textId="05545477" w:rsidR="00E01366" w:rsidRPr="00F73F93" w:rsidRDefault="00F73F93" w:rsidP="00D760A0">
            <w:pPr>
              <w:rPr>
                <w:rFonts w:ascii="Arial" w:hAnsi="Arial" w:cs="Arial"/>
                <w:sz w:val="16"/>
                <w:szCs w:val="16"/>
              </w:rPr>
            </w:pPr>
            <w:r w:rsidRPr="00F73F93">
              <w:rPr>
                <w:rFonts w:ascii="Arial" w:hAnsi="Arial" w:cs="Arial"/>
                <w:sz w:val="16"/>
                <w:szCs w:val="16"/>
              </w:rPr>
              <w:t>270</w:t>
            </w:r>
          </w:p>
        </w:tc>
        <w:tc>
          <w:tcPr>
            <w:tcW w:w="338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C4C50FF" w14:textId="0E742838" w:rsidR="00E01366" w:rsidRPr="00F73F93" w:rsidRDefault="00442BBE" w:rsidP="0045134B">
            <w:pPr>
              <w:rPr>
                <w:rFonts w:ascii="Arial" w:hAnsi="Arial" w:cs="Arial"/>
                <w:sz w:val="16"/>
                <w:szCs w:val="16"/>
              </w:rPr>
            </w:pPr>
            <w:r w:rsidRPr="00F73F93">
              <w:rPr>
                <w:rFonts w:ascii="Arial" w:hAnsi="Arial" w:cs="Arial"/>
                <w:sz w:val="16"/>
                <w:szCs w:val="16"/>
              </w:rPr>
              <w:t xml:space="preserve">Servicio de </w:t>
            </w:r>
            <w:r w:rsidR="00F73F93" w:rsidRPr="00F73F93">
              <w:rPr>
                <w:rFonts w:ascii="Arial" w:hAnsi="Arial" w:cs="Arial"/>
                <w:sz w:val="16"/>
                <w:szCs w:val="16"/>
              </w:rPr>
              <w:t>Gestión Institucional en Educación Superior Universitaria</w:t>
            </w:r>
          </w:p>
        </w:tc>
        <w:tc>
          <w:tcPr>
            <w:tcW w:w="234" w:type="dxa"/>
            <w:vMerge/>
            <w:tcBorders>
              <w:left w:val="single" w:sz="4" w:space="0" w:color="auto"/>
              <w:right w:val="single" w:sz="4" w:space="0" w:color="auto"/>
            </w:tcBorders>
            <w:shd w:val="clear" w:color="auto" w:fill="auto"/>
            <w:vAlign w:val="center"/>
          </w:tcPr>
          <w:p w14:paraId="00AD727F" w14:textId="77777777" w:rsidR="00E01366" w:rsidRPr="00F73F93" w:rsidRDefault="00E01366" w:rsidP="00D760A0">
            <w:pPr>
              <w:rPr>
                <w:rFonts w:ascii="Arial" w:hAnsi="Arial" w:cs="Arial"/>
                <w:sz w:val="16"/>
                <w:szCs w:val="16"/>
              </w:rPr>
            </w:pP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190E1C53" w14:textId="0C37B8E8" w:rsidR="00E01366" w:rsidRPr="00F73F93" w:rsidRDefault="00F73F93" w:rsidP="00D760A0">
            <w:pPr>
              <w:rPr>
                <w:rFonts w:ascii="Arial" w:hAnsi="Arial" w:cs="Arial"/>
                <w:sz w:val="16"/>
                <w:szCs w:val="16"/>
              </w:rPr>
            </w:pPr>
            <w:r w:rsidRPr="00F73F93">
              <w:rPr>
                <w:rFonts w:ascii="Arial" w:hAnsi="Arial" w:cs="Arial"/>
                <w:sz w:val="16"/>
                <w:szCs w:val="16"/>
              </w:rPr>
              <w:t>382</w:t>
            </w:r>
          </w:p>
        </w:tc>
        <w:tc>
          <w:tcPr>
            <w:tcW w:w="3157" w:type="dxa"/>
            <w:tcBorders>
              <w:top w:val="single" w:sz="4" w:space="0" w:color="auto"/>
              <w:left w:val="single" w:sz="4" w:space="0" w:color="auto"/>
              <w:bottom w:val="single" w:sz="4" w:space="0" w:color="auto"/>
              <w:right w:val="single" w:sz="4" w:space="0" w:color="auto"/>
            </w:tcBorders>
            <w:shd w:val="clear" w:color="auto" w:fill="auto"/>
            <w:vAlign w:val="center"/>
          </w:tcPr>
          <w:p w14:paraId="4D6159BE" w14:textId="5755CC47" w:rsidR="00E01366" w:rsidRPr="00F73F93" w:rsidRDefault="00F73F93" w:rsidP="00C422C0">
            <w:pPr>
              <w:rPr>
                <w:rFonts w:ascii="Arial" w:hAnsi="Arial" w:cs="Arial"/>
                <w:sz w:val="16"/>
                <w:szCs w:val="16"/>
              </w:rPr>
            </w:pPr>
            <w:r w:rsidRPr="00F73F93">
              <w:rPr>
                <w:rFonts w:ascii="Arial" w:hAnsi="Arial" w:cs="Arial"/>
                <w:sz w:val="16"/>
                <w:szCs w:val="16"/>
              </w:rPr>
              <w:t>Gestión Institucional en Educación Superior Universitaria</w:t>
            </w:r>
          </w:p>
        </w:tc>
      </w:tr>
      <w:tr w:rsidR="00F73F93" w:rsidRPr="00F73F93" w14:paraId="39D46F29" w14:textId="77777777" w:rsidTr="00E01366">
        <w:trPr>
          <w:trHeight w:val="58"/>
        </w:trPr>
        <w:tc>
          <w:tcPr>
            <w:tcW w:w="11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0002B6" w14:textId="77777777" w:rsidR="00E01366" w:rsidRPr="00F73F93" w:rsidRDefault="00E01366" w:rsidP="00D760A0">
            <w:pPr>
              <w:rPr>
                <w:rFonts w:ascii="Arial" w:hAnsi="Arial" w:cs="Arial"/>
                <w:sz w:val="16"/>
                <w:szCs w:val="16"/>
              </w:rPr>
            </w:pPr>
          </w:p>
        </w:tc>
        <w:tc>
          <w:tcPr>
            <w:tcW w:w="33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4CB45" w14:textId="77777777" w:rsidR="00E01366" w:rsidRPr="00F73F93" w:rsidRDefault="00E01366" w:rsidP="00D760A0">
            <w:pPr>
              <w:rPr>
                <w:rFonts w:ascii="Arial" w:hAnsi="Arial" w:cs="Arial"/>
                <w:sz w:val="16"/>
                <w:szCs w:val="16"/>
              </w:rPr>
            </w:pPr>
          </w:p>
        </w:tc>
        <w:tc>
          <w:tcPr>
            <w:tcW w:w="234" w:type="dxa"/>
            <w:vMerge/>
            <w:tcBorders>
              <w:left w:val="single" w:sz="4" w:space="0" w:color="auto"/>
              <w:right w:val="single" w:sz="4" w:space="0" w:color="auto"/>
            </w:tcBorders>
            <w:shd w:val="clear" w:color="auto" w:fill="auto"/>
            <w:vAlign w:val="center"/>
          </w:tcPr>
          <w:p w14:paraId="605F7CAA" w14:textId="77777777" w:rsidR="00E01366" w:rsidRPr="00F73F93" w:rsidRDefault="00E01366" w:rsidP="00D760A0">
            <w:pPr>
              <w:rPr>
                <w:rFonts w:ascii="Arial" w:hAnsi="Arial" w:cs="Arial"/>
                <w:sz w:val="16"/>
                <w:szCs w:val="16"/>
              </w:rPr>
            </w:pPr>
          </w:p>
        </w:tc>
        <w:tc>
          <w:tcPr>
            <w:tcW w:w="1587" w:type="dxa"/>
            <w:tcBorders>
              <w:top w:val="single" w:sz="4" w:space="0" w:color="auto"/>
              <w:left w:val="single" w:sz="4" w:space="0" w:color="auto"/>
              <w:bottom w:val="single" w:sz="4" w:space="0" w:color="auto"/>
            </w:tcBorders>
            <w:shd w:val="clear" w:color="auto" w:fill="auto"/>
            <w:vAlign w:val="center"/>
          </w:tcPr>
          <w:p w14:paraId="4A3E7DA5" w14:textId="77777777" w:rsidR="00E01366" w:rsidRPr="00F73F93" w:rsidRDefault="00E01366" w:rsidP="00D760A0">
            <w:pPr>
              <w:rPr>
                <w:rFonts w:ascii="Arial" w:hAnsi="Arial" w:cs="Arial"/>
                <w:sz w:val="16"/>
                <w:szCs w:val="16"/>
              </w:rPr>
            </w:pPr>
          </w:p>
        </w:tc>
        <w:tc>
          <w:tcPr>
            <w:tcW w:w="3157" w:type="dxa"/>
            <w:tcBorders>
              <w:top w:val="single" w:sz="4" w:space="0" w:color="auto"/>
              <w:bottom w:val="single" w:sz="4" w:space="0" w:color="auto"/>
            </w:tcBorders>
            <w:shd w:val="clear" w:color="auto" w:fill="auto"/>
            <w:vAlign w:val="center"/>
          </w:tcPr>
          <w:p w14:paraId="5A66EE65" w14:textId="77777777" w:rsidR="00E01366" w:rsidRPr="00F73F93" w:rsidRDefault="00E01366" w:rsidP="00D760A0">
            <w:pPr>
              <w:rPr>
                <w:rFonts w:ascii="Arial" w:hAnsi="Arial" w:cs="Arial"/>
                <w:sz w:val="16"/>
                <w:szCs w:val="16"/>
              </w:rPr>
            </w:pPr>
          </w:p>
        </w:tc>
      </w:tr>
      <w:tr w:rsidR="00F73F93" w:rsidRPr="00F73F93" w14:paraId="01F704E6" w14:textId="77777777" w:rsidTr="00E01366">
        <w:trPr>
          <w:trHeight w:val="363"/>
        </w:trPr>
        <w:tc>
          <w:tcPr>
            <w:tcW w:w="11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B942E6" w14:textId="77777777" w:rsidR="00E01366" w:rsidRPr="00F73F93" w:rsidRDefault="00E01366" w:rsidP="00D760A0">
            <w:pPr>
              <w:rPr>
                <w:rFonts w:ascii="Arial" w:hAnsi="Arial" w:cs="Arial"/>
                <w:sz w:val="16"/>
                <w:szCs w:val="16"/>
              </w:rPr>
            </w:pPr>
          </w:p>
        </w:tc>
        <w:tc>
          <w:tcPr>
            <w:tcW w:w="33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484493" w14:textId="77777777" w:rsidR="00E01366" w:rsidRPr="00F73F93" w:rsidRDefault="00E01366" w:rsidP="00D760A0">
            <w:pPr>
              <w:rPr>
                <w:rFonts w:ascii="Arial" w:hAnsi="Arial" w:cs="Arial"/>
                <w:sz w:val="16"/>
                <w:szCs w:val="16"/>
              </w:rPr>
            </w:pPr>
          </w:p>
        </w:tc>
        <w:tc>
          <w:tcPr>
            <w:tcW w:w="234" w:type="dxa"/>
            <w:vMerge/>
            <w:tcBorders>
              <w:left w:val="single" w:sz="4" w:space="0" w:color="auto"/>
              <w:right w:val="single" w:sz="4" w:space="0" w:color="auto"/>
            </w:tcBorders>
            <w:shd w:val="clear" w:color="auto" w:fill="auto"/>
            <w:vAlign w:val="center"/>
          </w:tcPr>
          <w:p w14:paraId="7B94AC1F" w14:textId="77777777" w:rsidR="00E01366" w:rsidRPr="00F73F93" w:rsidRDefault="00E01366" w:rsidP="00D760A0">
            <w:pPr>
              <w:rPr>
                <w:rFonts w:ascii="Arial" w:hAnsi="Arial" w:cs="Arial"/>
                <w:sz w:val="16"/>
                <w:szCs w:val="16"/>
              </w:rPr>
            </w:pP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119C1A20" w14:textId="77777777" w:rsidR="00E01366" w:rsidRPr="00F73F93" w:rsidRDefault="00E01366" w:rsidP="00D760A0">
            <w:pPr>
              <w:rPr>
                <w:rFonts w:ascii="Arial" w:hAnsi="Arial" w:cs="Arial"/>
                <w:sz w:val="16"/>
                <w:szCs w:val="16"/>
              </w:rPr>
            </w:pPr>
            <w:r w:rsidRPr="00F73F93">
              <w:rPr>
                <w:rFonts w:ascii="Arial" w:hAnsi="Arial" w:cs="Arial"/>
                <w:sz w:val="16"/>
                <w:szCs w:val="16"/>
              </w:rPr>
              <w:t>ID</w:t>
            </w:r>
          </w:p>
        </w:tc>
        <w:tc>
          <w:tcPr>
            <w:tcW w:w="3157" w:type="dxa"/>
            <w:tcBorders>
              <w:top w:val="single" w:sz="4" w:space="0" w:color="auto"/>
              <w:left w:val="single" w:sz="4" w:space="0" w:color="auto"/>
              <w:bottom w:val="single" w:sz="4" w:space="0" w:color="auto"/>
              <w:right w:val="single" w:sz="4" w:space="0" w:color="auto"/>
            </w:tcBorders>
            <w:shd w:val="clear" w:color="auto" w:fill="auto"/>
            <w:vAlign w:val="center"/>
          </w:tcPr>
          <w:p w14:paraId="2CA2F0A7" w14:textId="77777777" w:rsidR="00E01366" w:rsidRPr="00F73F93" w:rsidRDefault="00E01366" w:rsidP="00D760A0">
            <w:pPr>
              <w:rPr>
                <w:rFonts w:ascii="Arial" w:hAnsi="Arial" w:cs="Arial"/>
                <w:sz w:val="16"/>
                <w:szCs w:val="16"/>
              </w:rPr>
            </w:pPr>
          </w:p>
        </w:tc>
      </w:tr>
    </w:tbl>
    <w:p w14:paraId="648C5075" w14:textId="0786E3B6" w:rsidR="00E01366" w:rsidRPr="00F73F93" w:rsidRDefault="00E01366">
      <w:pPr>
        <w:rPr>
          <w:rFonts w:ascii="Arial" w:hAnsi="Arial" w:cs="Arial"/>
          <w:color w:val="FF0000"/>
          <w:sz w:val="20"/>
          <w:szCs w:val="20"/>
        </w:rPr>
      </w:pPr>
    </w:p>
    <w:tbl>
      <w:tblPr>
        <w:tblStyle w:val="Tablaconcuadrc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0"/>
        <w:gridCol w:w="580"/>
        <w:gridCol w:w="650"/>
        <w:gridCol w:w="681"/>
        <w:gridCol w:w="591"/>
        <w:gridCol w:w="709"/>
        <w:gridCol w:w="624"/>
        <w:gridCol w:w="579"/>
        <w:gridCol w:w="603"/>
        <w:gridCol w:w="595"/>
        <w:gridCol w:w="592"/>
        <w:gridCol w:w="593"/>
        <w:gridCol w:w="592"/>
        <w:gridCol w:w="592"/>
        <w:gridCol w:w="767"/>
      </w:tblGrid>
      <w:tr w:rsidR="00C30464" w:rsidRPr="00C30464" w14:paraId="30E58C15" w14:textId="77777777" w:rsidTr="00501759">
        <w:trPr>
          <w:trHeight w:val="322"/>
        </w:trPr>
        <w:tc>
          <w:tcPr>
            <w:tcW w:w="9498"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70BA29E1" w14:textId="77777777" w:rsidR="00E01366" w:rsidRPr="00C30464" w:rsidRDefault="00E01366" w:rsidP="00D760A0">
            <w:pPr>
              <w:rPr>
                <w:rFonts w:ascii="Arial" w:hAnsi="Arial" w:cs="Arial"/>
                <w:b/>
                <w:bCs/>
                <w:szCs w:val="20"/>
              </w:rPr>
            </w:pPr>
            <w:r w:rsidRPr="00C30464">
              <w:rPr>
                <w:rFonts w:ascii="Arial" w:hAnsi="Arial" w:cs="Arial"/>
                <w:b/>
                <w:bCs/>
                <w:szCs w:val="20"/>
              </w:rPr>
              <w:t>Competencia del Servicio</w:t>
            </w:r>
          </w:p>
        </w:tc>
      </w:tr>
      <w:tr w:rsidR="00C30464" w:rsidRPr="00C30464" w14:paraId="66ECB723" w14:textId="77777777" w:rsidTr="00501759">
        <w:trPr>
          <w:trHeight w:val="115"/>
        </w:trPr>
        <w:tc>
          <w:tcPr>
            <w:tcW w:w="1980" w:type="dxa"/>
            <w:gridSpan w:val="3"/>
            <w:tcBorders>
              <w:top w:val="single" w:sz="4" w:space="0" w:color="auto"/>
              <w:left w:val="single" w:sz="4" w:space="0" w:color="auto"/>
            </w:tcBorders>
            <w:vAlign w:val="center"/>
          </w:tcPr>
          <w:p w14:paraId="713BD878" w14:textId="77777777" w:rsidR="00E01366" w:rsidRPr="00C30464" w:rsidRDefault="00E01366" w:rsidP="00D760A0">
            <w:pPr>
              <w:jc w:val="center"/>
              <w:rPr>
                <w:rFonts w:ascii="Arial" w:hAnsi="Arial" w:cs="Arial"/>
                <w:b/>
                <w:bCs/>
                <w:sz w:val="16"/>
                <w:szCs w:val="18"/>
              </w:rPr>
            </w:pPr>
            <w:r w:rsidRPr="00C30464">
              <w:rPr>
                <w:rFonts w:ascii="Arial" w:hAnsi="Arial" w:cs="Arial"/>
                <w:b/>
                <w:bCs/>
                <w:sz w:val="16"/>
                <w:szCs w:val="18"/>
              </w:rPr>
              <w:t>Gobierno Nacional</w:t>
            </w:r>
          </w:p>
        </w:tc>
        <w:tc>
          <w:tcPr>
            <w:tcW w:w="1981" w:type="dxa"/>
            <w:gridSpan w:val="3"/>
            <w:tcBorders>
              <w:top w:val="single" w:sz="4" w:space="0" w:color="auto"/>
            </w:tcBorders>
            <w:vAlign w:val="center"/>
          </w:tcPr>
          <w:p w14:paraId="1FEC6171" w14:textId="77777777" w:rsidR="00E01366" w:rsidRPr="00C30464" w:rsidRDefault="00E01366" w:rsidP="00D760A0">
            <w:pPr>
              <w:jc w:val="center"/>
              <w:rPr>
                <w:rFonts w:ascii="Arial" w:hAnsi="Arial" w:cs="Arial"/>
                <w:b/>
                <w:bCs/>
                <w:sz w:val="16"/>
                <w:szCs w:val="18"/>
              </w:rPr>
            </w:pPr>
            <w:r w:rsidRPr="00C30464">
              <w:rPr>
                <w:rFonts w:ascii="Arial" w:hAnsi="Arial" w:cs="Arial"/>
                <w:b/>
                <w:bCs/>
                <w:sz w:val="16"/>
                <w:szCs w:val="18"/>
              </w:rPr>
              <w:t>Gobierno Regional</w:t>
            </w:r>
          </w:p>
        </w:tc>
        <w:tc>
          <w:tcPr>
            <w:tcW w:w="1806" w:type="dxa"/>
            <w:gridSpan w:val="3"/>
            <w:tcBorders>
              <w:top w:val="single" w:sz="4" w:space="0" w:color="auto"/>
            </w:tcBorders>
            <w:vAlign w:val="center"/>
          </w:tcPr>
          <w:p w14:paraId="4A62EA9E" w14:textId="77777777" w:rsidR="00E01366" w:rsidRPr="00C30464" w:rsidRDefault="00E01366" w:rsidP="00D760A0">
            <w:pPr>
              <w:jc w:val="center"/>
              <w:rPr>
                <w:rFonts w:ascii="Arial" w:hAnsi="Arial" w:cs="Arial"/>
                <w:b/>
                <w:bCs/>
                <w:sz w:val="16"/>
                <w:szCs w:val="18"/>
              </w:rPr>
            </w:pPr>
            <w:r w:rsidRPr="00C30464">
              <w:rPr>
                <w:rFonts w:ascii="Arial" w:hAnsi="Arial" w:cs="Arial"/>
                <w:b/>
                <w:bCs/>
                <w:sz w:val="16"/>
                <w:szCs w:val="18"/>
              </w:rPr>
              <w:t>Gobierno Local</w:t>
            </w:r>
          </w:p>
          <w:p w14:paraId="4FCF7C93" w14:textId="77777777" w:rsidR="00E01366" w:rsidRPr="00C30464" w:rsidRDefault="00E01366" w:rsidP="00D760A0">
            <w:pPr>
              <w:jc w:val="center"/>
              <w:rPr>
                <w:rFonts w:ascii="Arial" w:hAnsi="Arial" w:cs="Arial"/>
                <w:b/>
                <w:bCs/>
                <w:sz w:val="16"/>
                <w:szCs w:val="18"/>
              </w:rPr>
            </w:pPr>
            <w:proofErr w:type="spellStart"/>
            <w:r w:rsidRPr="00C30464">
              <w:rPr>
                <w:rFonts w:ascii="Arial" w:hAnsi="Arial" w:cs="Arial"/>
                <w:b/>
                <w:bCs/>
                <w:sz w:val="16"/>
                <w:szCs w:val="18"/>
              </w:rPr>
              <w:t>Municip</w:t>
            </w:r>
            <w:proofErr w:type="spellEnd"/>
            <w:r w:rsidRPr="00C30464">
              <w:rPr>
                <w:rFonts w:ascii="Arial" w:hAnsi="Arial" w:cs="Arial"/>
                <w:b/>
                <w:bCs/>
                <w:sz w:val="16"/>
                <w:szCs w:val="18"/>
              </w:rPr>
              <w:t>. Provincial</w:t>
            </w:r>
          </w:p>
        </w:tc>
        <w:tc>
          <w:tcPr>
            <w:tcW w:w="1780" w:type="dxa"/>
            <w:gridSpan w:val="3"/>
            <w:tcBorders>
              <w:top w:val="single" w:sz="4" w:space="0" w:color="auto"/>
            </w:tcBorders>
            <w:vAlign w:val="center"/>
          </w:tcPr>
          <w:p w14:paraId="65EAF0B0" w14:textId="77777777" w:rsidR="00E01366" w:rsidRPr="00C30464" w:rsidRDefault="00E01366" w:rsidP="00D760A0">
            <w:pPr>
              <w:jc w:val="center"/>
              <w:rPr>
                <w:rFonts w:ascii="Arial" w:hAnsi="Arial" w:cs="Arial"/>
                <w:b/>
                <w:bCs/>
                <w:sz w:val="16"/>
                <w:szCs w:val="18"/>
              </w:rPr>
            </w:pPr>
            <w:r w:rsidRPr="00C30464">
              <w:rPr>
                <w:rFonts w:ascii="Arial" w:hAnsi="Arial" w:cs="Arial"/>
                <w:b/>
                <w:bCs/>
                <w:sz w:val="16"/>
                <w:szCs w:val="18"/>
              </w:rPr>
              <w:t>Gobierno Local</w:t>
            </w:r>
          </w:p>
          <w:p w14:paraId="01206F40" w14:textId="77777777" w:rsidR="00E01366" w:rsidRPr="00C30464" w:rsidRDefault="00E01366" w:rsidP="00D760A0">
            <w:pPr>
              <w:jc w:val="center"/>
              <w:rPr>
                <w:rFonts w:ascii="Arial" w:hAnsi="Arial" w:cs="Arial"/>
                <w:b/>
                <w:bCs/>
                <w:sz w:val="16"/>
                <w:szCs w:val="18"/>
              </w:rPr>
            </w:pPr>
            <w:proofErr w:type="spellStart"/>
            <w:r w:rsidRPr="00C30464">
              <w:rPr>
                <w:rFonts w:ascii="Arial" w:hAnsi="Arial" w:cs="Arial"/>
                <w:b/>
                <w:bCs/>
                <w:sz w:val="16"/>
                <w:szCs w:val="18"/>
              </w:rPr>
              <w:t>Municip</w:t>
            </w:r>
            <w:proofErr w:type="spellEnd"/>
            <w:r w:rsidRPr="00C30464">
              <w:rPr>
                <w:rFonts w:ascii="Arial" w:hAnsi="Arial" w:cs="Arial"/>
                <w:b/>
                <w:bCs/>
                <w:sz w:val="16"/>
                <w:szCs w:val="18"/>
              </w:rPr>
              <w:t>. Distrital</w:t>
            </w:r>
          </w:p>
        </w:tc>
        <w:tc>
          <w:tcPr>
            <w:tcW w:w="1951" w:type="dxa"/>
            <w:gridSpan w:val="3"/>
            <w:tcBorders>
              <w:top w:val="single" w:sz="4" w:space="0" w:color="auto"/>
              <w:right w:val="single" w:sz="4" w:space="0" w:color="auto"/>
            </w:tcBorders>
            <w:vAlign w:val="center"/>
          </w:tcPr>
          <w:p w14:paraId="54589F86" w14:textId="77777777" w:rsidR="00E01366" w:rsidRPr="00C30464" w:rsidRDefault="00E01366" w:rsidP="00D760A0">
            <w:pPr>
              <w:jc w:val="center"/>
              <w:rPr>
                <w:rFonts w:ascii="Arial" w:hAnsi="Arial" w:cs="Arial"/>
                <w:b/>
                <w:bCs/>
                <w:sz w:val="16"/>
                <w:szCs w:val="18"/>
              </w:rPr>
            </w:pPr>
            <w:r w:rsidRPr="00C30464">
              <w:rPr>
                <w:rFonts w:ascii="Arial" w:hAnsi="Arial" w:cs="Arial"/>
                <w:b/>
                <w:bCs/>
                <w:sz w:val="16"/>
                <w:szCs w:val="18"/>
              </w:rPr>
              <w:t>Empresa</w:t>
            </w:r>
          </w:p>
        </w:tc>
      </w:tr>
      <w:tr w:rsidR="00C30464" w:rsidRPr="00C30464" w14:paraId="07F29AB9" w14:textId="77777777" w:rsidTr="00501759">
        <w:trPr>
          <w:trHeight w:val="84"/>
        </w:trPr>
        <w:tc>
          <w:tcPr>
            <w:tcW w:w="750" w:type="dxa"/>
            <w:tcBorders>
              <w:left w:val="single" w:sz="4" w:space="0" w:color="auto"/>
            </w:tcBorders>
            <w:vAlign w:val="center"/>
          </w:tcPr>
          <w:p w14:paraId="223AAEC1" w14:textId="77777777" w:rsidR="00E01366" w:rsidRPr="00C30464" w:rsidRDefault="00E01366" w:rsidP="00D760A0">
            <w:pPr>
              <w:rPr>
                <w:rFonts w:ascii="Arial" w:hAnsi="Arial" w:cs="Arial"/>
                <w:sz w:val="16"/>
                <w:szCs w:val="16"/>
              </w:rPr>
            </w:pPr>
          </w:p>
        </w:tc>
        <w:tc>
          <w:tcPr>
            <w:tcW w:w="580" w:type="dxa"/>
            <w:tcBorders>
              <w:bottom w:val="single" w:sz="4" w:space="0" w:color="auto"/>
            </w:tcBorders>
            <w:vAlign w:val="center"/>
          </w:tcPr>
          <w:p w14:paraId="404EF150" w14:textId="77777777" w:rsidR="00E01366" w:rsidRPr="00C30464" w:rsidRDefault="00E01366" w:rsidP="00D760A0">
            <w:pPr>
              <w:rPr>
                <w:rFonts w:ascii="Arial" w:hAnsi="Arial" w:cs="Arial"/>
                <w:sz w:val="16"/>
                <w:szCs w:val="16"/>
              </w:rPr>
            </w:pPr>
          </w:p>
        </w:tc>
        <w:tc>
          <w:tcPr>
            <w:tcW w:w="650" w:type="dxa"/>
            <w:vAlign w:val="center"/>
          </w:tcPr>
          <w:p w14:paraId="2F8C63AE" w14:textId="77777777" w:rsidR="00E01366" w:rsidRPr="00C30464" w:rsidRDefault="00E01366" w:rsidP="00D760A0">
            <w:pPr>
              <w:rPr>
                <w:rFonts w:ascii="Arial" w:hAnsi="Arial" w:cs="Arial"/>
                <w:sz w:val="16"/>
                <w:szCs w:val="18"/>
              </w:rPr>
            </w:pPr>
          </w:p>
        </w:tc>
        <w:tc>
          <w:tcPr>
            <w:tcW w:w="681" w:type="dxa"/>
            <w:vAlign w:val="center"/>
          </w:tcPr>
          <w:p w14:paraId="37D8C6FB" w14:textId="77777777" w:rsidR="00E01366" w:rsidRPr="00C30464" w:rsidRDefault="00E01366" w:rsidP="00D760A0">
            <w:pPr>
              <w:rPr>
                <w:rFonts w:ascii="Arial" w:hAnsi="Arial" w:cs="Arial"/>
                <w:sz w:val="16"/>
                <w:szCs w:val="18"/>
              </w:rPr>
            </w:pPr>
          </w:p>
        </w:tc>
        <w:tc>
          <w:tcPr>
            <w:tcW w:w="591" w:type="dxa"/>
            <w:tcBorders>
              <w:bottom w:val="single" w:sz="4" w:space="0" w:color="auto"/>
            </w:tcBorders>
            <w:vAlign w:val="center"/>
          </w:tcPr>
          <w:p w14:paraId="12564A93" w14:textId="77777777" w:rsidR="00E01366" w:rsidRPr="00C30464" w:rsidRDefault="00E01366" w:rsidP="00D760A0">
            <w:pPr>
              <w:rPr>
                <w:rFonts w:ascii="Arial" w:hAnsi="Arial" w:cs="Arial"/>
                <w:sz w:val="16"/>
                <w:szCs w:val="18"/>
              </w:rPr>
            </w:pPr>
          </w:p>
        </w:tc>
        <w:tc>
          <w:tcPr>
            <w:tcW w:w="709" w:type="dxa"/>
            <w:vAlign w:val="center"/>
          </w:tcPr>
          <w:p w14:paraId="1377B682" w14:textId="77777777" w:rsidR="00E01366" w:rsidRPr="00C30464" w:rsidRDefault="00E01366" w:rsidP="00D760A0">
            <w:pPr>
              <w:rPr>
                <w:rFonts w:ascii="Arial" w:hAnsi="Arial" w:cs="Arial"/>
                <w:sz w:val="16"/>
                <w:szCs w:val="18"/>
              </w:rPr>
            </w:pPr>
          </w:p>
        </w:tc>
        <w:tc>
          <w:tcPr>
            <w:tcW w:w="624" w:type="dxa"/>
            <w:vAlign w:val="center"/>
          </w:tcPr>
          <w:p w14:paraId="72A1492E" w14:textId="77777777" w:rsidR="00E01366" w:rsidRPr="00C30464" w:rsidRDefault="00E01366" w:rsidP="00D760A0">
            <w:pPr>
              <w:rPr>
                <w:rFonts w:ascii="Arial" w:hAnsi="Arial" w:cs="Arial"/>
                <w:sz w:val="16"/>
                <w:szCs w:val="18"/>
              </w:rPr>
            </w:pPr>
          </w:p>
        </w:tc>
        <w:tc>
          <w:tcPr>
            <w:tcW w:w="579" w:type="dxa"/>
            <w:tcBorders>
              <w:bottom w:val="single" w:sz="4" w:space="0" w:color="auto"/>
            </w:tcBorders>
            <w:vAlign w:val="center"/>
          </w:tcPr>
          <w:p w14:paraId="30814D24" w14:textId="77777777" w:rsidR="00E01366" w:rsidRPr="00C30464" w:rsidRDefault="00E01366" w:rsidP="00D760A0">
            <w:pPr>
              <w:rPr>
                <w:rFonts w:ascii="Arial" w:hAnsi="Arial" w:cs="Arial"/>
                <w:sz w:val="16"/>
                <w:szCs w:val="18"/>
              </w:rPr>
            </w:pPr>
          </w:p>
        </w:tc>
        <w:tc>
          <w:tcPr>
            <w:tcW w:w="603" w:type="dxa"/>
            <w:vAlign w:val="center"/>
          </w:tcPr>
          <w:p w14:paraId="6B79396A" w14:textId="77777777" w:rsidR="00E01366" w:rsidRPr="00C30464" w:rsidRDefault="00E01366" w:rsidP="00D760A0">
            <w:pPr>
              <w:rPr>
                <w:rFonts w:ascii="Arial" w:hAnsi="Arial" w:cs="Arial"/>
                <w:sz w:val="16"/>
                <w:szCs w:val="18"/>
              </w:rPr>
            </w:pPr>
          </w:p>
        </w:tc>
        <w:tc>
          <w:tcPr>
            <w:tcW w:w="595" w:type="dxa"/>
            <w:vAlign w:val="center"/>
          </w:tcPr>
          <w:p w14:paraId="249C8175" w14:textId="77777777" w:rsidR="00E01366" w:rsidRPr="00C30464" w:rsidRDefault="00E01366" w:rsidP="00D760A0">
            <w:pPr>
              <w:rPr>
                <w:rFonts w:ascii="Arial" w:hAnsi="Arial" w:cs="Arial"/>
                <w:sz w:val="16"/>
                <w:szCs w:val="18"/>
              </w:rPr>
            </w:pPr>
          </w:p>
        </w:tc>
        <w:tc>
          <w:tcPr>
            <w:tcW w:w="592" w:type="dxa"/>
            <w:tcBorders>
              <w:bottom w:val="single" w:sz="4" w:space="0" w:color="auto"/>
            </w:tcBorders>
            <w:vAlign w:val="center"/>
          </w:tcPr>
          <w:p w14:paraId="231F395A" w14:textId="77777777" w:rsidR="00E01366" w:rsidRPr="00C30464" w:rsidRDefault="00E01366" w:rsidP="00D760A0">
            <w:pPr>
              <w:rPr>
                <w:rFonts w:ascii="Arial" w:hAnsi="Arial" w:cs="Arial"/>
                <w:sz w:val="16"/>
                <w:szCs w:val="18"/>
              </w:rPr>
            </w:pPr>
          </w:p>
        </w:tc>
        <w:tc>
          <w:tcPr>
            <w:tcW w:w="593" w:type="dxa"/>
            <w:vAlign w:val="center"/>
          </w:tcPr>
          <w:p w14:paraId="7FE7EEFC" w14:textId="77777777" w:rsidR="00E01366" w:rsidRPr="00C30464" w:rsidRDefault="00E01366" w:rsidP="00D760A0">
            <w:pPr>
              <w:rPr>
                <w:rFonts w:ascii="Arial" w:hAnsi="Arial" w:cs="Arial"/>
                <w:sz w:val="16"/>
                <w:szCs w:val="18"/>
              </w:rPr>
            </w:pPr>
          </w:p>
        </w:tc>
        <w:tc>
          <w:tcPr>
            <w:tcW w:w="592" w:type="dxa"/>
            <w:vAlign w:val="center"/>
          </w:tcPr>
          <w:p w14:paraId="7FC829B6" w14:textId="77777777" w:rsidR="00E01366" w:rsidRPr="00C30464" w:rsidRDefault="00E01366" w:rsidP="00D760A0">
            <w:pPr>
              <w:rPr>
                <w:rFonts w:ascii="Arial" w:hAnsi="Arial" w:cs="Arial"/>
                <w:sz w:val="16"/>
                <w:szCs w:val="18"/>
              </w:rPr>
            </w:pPr>
          </w:p>
        </w:tc>
        <w:tc>
          <w:tcPr>
            <w:tcW w:w="592" w:type="dxa"/>
            <w:tcBorders>
              <w:bottom w:val="single" w:sz="4" w:space="0" w:color="auto"/>
            </w:tcBorders>
            <w:vAlign w:val="center"/>
          </w:tcPr>
          <w:p w14:paraId="3CF5282C" w14:textId="77777777" w:rsidR="00E01366" w:rsidRPr="00C30464" w:rsidRDefault="00E01366" w:rsidP="00D760A0">
            <w:pPr>
              <w:rPr>
                <w:rFonts w:ascii="Arial" w:hAnsi="Arial" w:cs="Arial"/>
                <w:sz w:val="16"/>
                <w:szCs w:val="18"/>
              </w:rPr>
            </w:pPr>
          </w:p>
        </w:tc>
        <w:tc>
          <w:tcPr>
            <w:tcW w:w="767" w:type="dxa"/>
            <w:tcBorders>
              <w:right w:val="single" w:sz="4" w:space="0" w:color="auto"/>
            </w:tcBorders>
            <w:vAlign w:val="center"/>
          </w:tcPr>
          <w:p w14:paraId="2412FFF8" w14:textId="77777777" w:rsidR="00E01366" w:rsidRPr="00C30464" w:rsidRDefault="00E01366" w:rsidP="00D760A0">
            <w:pPr>
              <w:rPr>
                <w:rFonts w:ascii="Arial" w:hAnsi="Arial" w:cs="Arial"/>
                <w:sz w:val="16"/>
                <w:szCs w:val="18"/>
              </w:rPr>
            </w:pPr>
          </w:p>
        </w:tc>
      </w:tr>
      <w:tr w:rsidR="00C30464" w:rsidRPr="00C30464" w14:paraId="5F1512DC" w14:textId="77777777" w:rsidTr="00501759">
        <w:trPr>
          <w:trHeight w:val="500"/>
        </w:trPr>
        <w:tc>
          <w:tcPr>
            <w:tcW w:w="750" w:type="dxa"/>
            <w:tcBorders>
              <w:left w:val="single" w:sz="4" w:space="0" w:color="auto"/>
              <w:right w:val="single" w:sz="4" w:space="0" w:color="auto"/>
            </w:tcBorders>
            <w:shd w:val="clear" w:color="auto" w:fill="auto"/>
            <w:vAlign w:val="center"/>
          </w:tcPr>
          <w:p w14:paraId="01266595" w14:textId="77777777" w:rsidR="00E01366" w:rsidRPr="00C30464" w:rsidRDefault="00E01366" w:rsidP="00D760A0">
            <w:pPr>
              <w:rPr>
                <w:rFonts w:ascii="Arial" w:hAnsi="Arial" w:cs="Arial"/>
                <w:sz w:val="18"/>
                <w:szCs w:val="16"/>
              </w:rPr>
            </w:pP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3913A559" w14:textId="09EBA5FD" w:rsidR="00E01366" w:rsidRPr="00C30464" w:rsidRDefault="00871BC1" w:rsidP="00D760A0">
            <w:pPr>
              <w:jc w:val="center"/>
              <w:rPr>
                <w:rFonts w:ascii="Arial" w:hAnsi="Arial" w:cs="Arial"/>
                <w:sz w:val="18"/>
                <w:szCs w:val="16"/>
              </w:rPr>
            </w:pPr>
            <w:r w:rsidRPr="00C30464">
              <w:rPr>
                <w:rFonts w:ascii="Arial" w:hAnsi="Arial" w:cs="Arial"/>
                <w:sz w:val="18"/>
                <w:szCs w:val="16"/>
              </w:rPr>
              <w:t>SI</w:t>
            </w:r>
          </w:p>
        </w:tc>
        <w:tc>
          <w:tcPr>
            <w:tcW w:w="650" w:type="dxa"/>
            <w:tcBorders>
              <w:left w:val="single" w:sz="4" w:space="0" w:color="auto"/>
            </w:tcBorders>
            <w:shd w:val="clear" w:color="auto" w:fill="auto"/>
            <w:vAlign w:val="center"/>
          </w:tcPr>
          <w:p w14:paraId="41BB2538" w14:textId="77777777" w:rsidR="00E01366" w:rsidRPr="00C30464" w:rsidRDefault="00E01366" w:rsidP="00D760A0">
            <w:pPr>
              <w:jc w:val="center"/>
              <w:rPr>
                <w:rFonts w:ascii="Arial" w:hAnsi="Arial" w:cs="Arial"/>
                <w:sz w:val="18"/>
                <w:szCs w:val="18"/>
              </w:rPr>
            </w:pPr>
          </w:p>
        </w:tc>
        <w:tc>
          <w:tcPr>
            <w:tcW w:w="681" w:type="dxa"/>
            <w:tcBorders>
              <w:right w:val="single" w:sz="4" w:space="0" w:color="auto"/>
            </w:tcBorders>
            <w:shd w:val="clear" w:color="auto" w:fill="auto"/>
            <w:vAlign w:val="center"/>
          </w:tcPr>
          <w:p w14:paraId="438FAB23" w14:textId="77777777" w:rsidR="00E01366" w:rsidRPr="00C30464" w:rsidRDefault="00E01366" w:rsidP="00D760A0">
            <w:pPr>
              <w:jc w:val="center"/>
              <w:rPr>
                <w:rFonts w:ascii="Arial" w:hAnsi="Arial" w:cs="Arial"/>
                <w:sz w:val="18"/>
                <w:szCs w:val="18"/>
              </w:rPr>
            </w:pP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14:paraId="79A536BA" w14:textId="4D728CDF" w:rsidR="00E01366" w:rsidRPr="00C30464" w:rsidRDefault="00C422C0" w:rsidP="00D760A0">
            <w:pPr>
              <w:jc w:val="center"/>
              <w:rPr>
                <w:rFonts w:ascii="Arial" w:hAnsi="Arial" w:cs="Arial"/>
                <w:sz w:val="18"/>
                <w:szCs w:val="18"/>
              </w:rPr>
            </w:pPr>
            <w:r w:rsidRPr="00C30464">
              <w:rPr>
                <w:rFonts w:ascii="Arial" w:hAnsi="Arial" w:cs="Arial"/>
                <w:sz w:val="18"/>
                <w:szCs w:val="18"/>
              </w:rPr>
              <w:t>NO</w:t>
            </w:r>
          </w:p>
        </w:tc>
        <w:tc>
          <w:tcPr>
            <w:tcW w:w="709" w:type="dxa"/>
            <w:tcBorders>
              <w:left w:val="single" w:sz="4" w:space="0" w:color="auto"/>
            </w:tcBorders>
            <w:shd w:val="clear" w:color="auto" w:fill="auto"/>
            <w:vAlign w:val="center"/>
          </w:tcPr>
          <w:p w14:paraId="523175AE" w14:textId="77777777" w:rsidR="00E01366" w:rsidRPr="00C30464" w:rsidRDefault="00E01366" w:rsidP="00D760A0">
            <w:pPr>
              <w:jc w:val="center"/>
              <w:rPr>
                <w:rFonts w:ascii="Arial" w:hAnsi="Arial" w:cs="Arial"/>
                <w:sz w:val="18"/>
                <w:szCs w:val="18"/>
              </w:rPr>
            </w:pPr>
          </w:p>
        </w:tc>
        <w:tc>
          <w:tcPr>
            <w:tcW w:w="624" w:type="dxa"/>
            <w:tcBorders>
              <w:right w:val="single" w:sz="4" w:space="0" w:color="auto"/>
            </w:tcBorders>
            <w:shd w:val="clear" w:color="auto" w:fill="auto"/>
            <w:vAlign w:val="center"/>
          </w:tcPr>
          <w:p w14:paraId="4E7C74A5" w14:textId="77777777" w:rsidR="00E01366" w:rsidRPr="00C30464" w:rsidRDefault="00E01366" w:rsidP="00D760A0">
            <w:pPr>
              <w:jc w:val="center"/>
              <w:rPr>
                <w:rFonts w:ascii="Arial" w:hAnsi="Arial" w:cs="Arial"/>
                <w:sz w:val="18"/>
                <w:szCs w:val="18"/>
              </w:rPr>
            </w:pP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1793AF04" w14:textId="3E7B500D" w:rsidR="00E01366" w:rsidRPr="00C30464" w:rsidRDefault="00847FB8" w:rsidP="00D760A0">
            <w:pPr>
              <w:jc w:val="center"/>
              <w:rPr>
                <w:rFonts w:ascii="Arial" w:hAnsi="Arial" w:cs="Arial"/>
                <w:sz w:val="18"/>
                <w:szCs w:val="18"/>
              </w:rPr>
            </w:pPr>
            <w:r w:rsidRPr="00C30464">
              <w:rPr>
                <w:rFonts w:ascii="Arial" w:hAnsi="Arial" w:cs="Arial"/>
                <w:sz w:val="18"/>
                <w:szCs w:val="18"/>
              </w:rPr>
              <w:t>NO</w:t>
            </w:r>
          </w:p>
        </w:tc>
        <w:tc>
          <w:tcPr>
            <w:tcW w:w="603" w:type="dxa"/>
            <w:tcBorders>
              <w:left w:val="single" w:sz="4" w:space="0" w:color="auto"/>
            </w:tcBorders>
            <w:shd w:val="clear" w:color="auto" w:fill="auto"/>
            <w:vAlign w:val="center"/>
          </w:tcPr>
          <w:p w14:paraId="17ADF476" w14:textId="77777777" w:rsidR="00E01366" w:rsidRPr="00C30464" w:rsidRDefault="00E01366" w:rsidP="00D760A0">
            <w:pPr>
              <w:jc w:val="center"/>
              <w:rPr>
                <w:rFonts w:ascii="Arial" w:hAnsi="Arial" w:cs="Arial"/>
                <w:sz w:val="18"/>
                <w:szCs w:val="18"/>
              </w:rPr>
            </w:pPr>
          </w:p>
        </w:tc>
        <w:tc>
          <w:tcPr>
            <w:tcW w:w="595" w:type="dxa"/>
            <w:tcBorders>
              <w:right w:val="single" w:sz="4" w:space="0" w:color="auto"/>
            </w:tcBorders>
            <w:shd w:val="clear" w:color="auto" w:fill="auto"/>
            <w:vAlign w:val="center"/>
          </w:tcPr>
          <w:p w14:paraId="07881BB4" w14:textId="77777777" w:rsidR="00E01366" w:rsidRPr="00C30464" w:rsidRDefault="00E01366" w:rsidP="00D760A0">
            <w:pPr>
              <w:jc w:val="center"/>
              <w:rPr>
                <w:rFonts w:ascii="Arial" w:hAnsi="Arial" w:cs="Arial"/>
                <w:sz w:val="18"/>
                <w:szCs w:val="18"/>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0B9B6AC9" w14:textId="6798CC6C" w:rsidR="00E01366" w:rsidRPr="00C30464" w:rsidRDefault="00847FB8" w:rsidP="00D760A0">
            <w:pPr>
              <w:jc w:val="center"/>
              <w:rPr>
                <w:rFonts w:ascii="Arial" w:hAnsi="Arial" w:cs="Arial"/>
                <w:sz w:val="18"/>
                <w:szCs w:val="18"/>
              </w:rPr>
            </w:pPr>
            <w:r w:rsidRPr="00C30464">
              <w:rPr>
                <w:rFonts w:ascii="Arial" w:hAnsi="Arial" w:cs="Arial"/>
                <w:sz w:val="18"/>
                <w:szCs w:val="18"/>
              </w:rPr>
              <w:t>NO</w:t>
            </w:r>
          </w:p>
        </w:tc>
        <w:tc>
          <w:tcPr>
            <w:tcW w:w="593" w:type="dxa"/>
            <w:tcBorders>
              <w:left w:val="single" w:sz="4" w:space="0" w:color="auto"/>
            </w:tcBorders>
            <w:shd w:val="clear" w:color="auto" w:fill="auto"/>
            <w:vAlign w:val="center"/>
          </w:tcPr>
          <w:p w14:paraId="645C62CE" w14:textId="77777777" w:rsidR="00E01366" w:rsidRPr="00C30464" w:rsidRDefault="00E01366" w:rsidP="00D760A0">
            <w:pPr>
              <w:jc w:val="center"/>
              <w:rPr>
                <w:rFonts w:ascii="Arial" w:hAnsi="Arial" w:cs="Arial"/>
                <w:sz w:val="18"/>
                <w:szCs w:val="18"/>
              </w:rPr>
            </w:pPr>
          </w:p>
        </w:tc>
        <w:tc>
          <w:tcPr>
            <w:tcW w:w="592" w:type="dxa"/>
            <w:tcBorders>
              <w:left w:val="nil"/>
              <w:right w:val="single" w:sz="4" w:space="0" w:color="auto"/>
            </w:tcBorders>
            <w:shd w:val="clear" w:color="auto" w:fill="auto"/>
            <w:vAlign w:val="center"/>
          </w:tcPr>
          <w:p w14:paraId="4747651B" w14:textId="77777777" w:rsidR="00E01366" w:rsidRPr="00C30464" w:rsidRDefault="00E01366" w:rsidP="00D760A0">
            <w:pPr>
              <w:jc w:val="center"/>
              <w:rPr>
                <w:rFonts w:ascii="Arial" w:hAnsi="Arial" w:cs="Arial"/>
                <w:sz w:val="18"/>
                <w:szCs w:val="18"/>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18FEA8B5" w14:textId="4FF38681" w:rsidR="00E01366" w:rsidRPr="00C30464" w:rsidRDefault="00871BC1" w:rsidP="00D760A0">
            <w:pPr>
              <w:jc w:val="center"/>
              <w:rPr>
                <w:rFonts w:ascii="Arial" w:hAnsi="Arial" w:cs="Arial"/>
                <w:sz w:val="18"/>
                <w:szCs w:val="18"/>
              </w:rPr>
            </w:pPr>
            <w:r w:rsidRPr="00C30464">
              <w:rPr>
                <w:rFonts w:ascii="Arial" w:hAnsi="Arial" w:cs="Arial"/>
                <w:sz w:val="18"/>
                <w:szCs w:val="18"/>
              </w:rPr>
              <w:t>NO</w:t>
            </w:r>
          </w:p>
        </w:tc>
        <w:tc>
          <w:tcPr>
            <w:tcW w:w="767" w:type="dxa"/>
            <w:tcBorders>
              <w:left w:val="single" w:sz="4" w:space="0" w:color="auto"/>
              <w:right w:val="single" w:sz="4" w:space="0" w:color="auto"/>
            </w:tcBorders>
            <w:shd w:val="clear" w:color="auto" w:fill="auto"/>
            <w:vAlign w:val="center"/>
          </w:tcPr>
          <w:p w14:paraId="7C9AF0CE" w14:textId="77777777" w:rsidR="00E01366" w:rsidRPr="00C30464" w:rsidRDefault="00E01366" w:rsidP="00D760A0">
            <w:pPr>
              <w:jc w:val="center"/>
              <w:rPr>
                <w:rFonts w:ascii="Arial" w:hAnsi="Arial" w:cs="Arial"/>
                <w:sz w:val="18"/>
                <w:szCs w:val="18"/>
              </w:rPr>
            </w:pPr>
          </w:p>
        </w:tc>
      </w:tr>
      <w:tr w:rsidR="00C30464" w:rsidRPr="00C30464" w14:paraId="11DA33B4" w14:textId="77777777" w:rsidTr="00501759">
        <w:trPr>
          <w:trHeight w:val="236"/>
        </w:trPr>
        <w:tc>
          <w:tcPr>
            <w:tcW w:w="750" w:type="dxa"/>
            <w:tcBorders>
              <w:left w:val="single" w:sz="4" w:space="0" w:color="auto"/>
              <w:bottom w:val="single" w:sz="4" w:space="0" w:color="auto"/>
            </w:tcBorders>
            <w:shd w:val="clear" w:color="auto" w:fill="auto"/>
            <w:vAlign w:val="center"/>
          </w:tcPr>
          <w:p w14:paraId="46815DDC" w14:textId="77777777" w:rsidR="00E01366" w:rsidRPr="00C30464" w:rsidRDefault="00E01366" w:rsidP="00D760A0">
            <w:pPr>
              <w:rPr>
                <w:rFonts w:ascii="Arial" w:hAnsi="Arial" w:cs="Arial"/>
                <w:sz w:val="16"/>
                <w:szCs w:val="16"/>
              </w:rPr>
            </w:pPr>
          </w:p>
        </w:tc>
        <w:tc>
          <w:tcPr>
            <w:tcW w:w="580" w:type="dxa"/>
            <w:tcBorders>
              <w:top w:val="single" w:sz="4" w:space="0" w:color="auto"/>
              <w:bottom w:val="single" w:sz="4" w:space="0" w:color="auto"/>
            </w:tcBorders>
            <w:shd w:val="clear" w:color="auto" w:fill="auto"/>
            <w:vAlign w:val="center"/>
          </w:tcPr>
          <w:p w14:paraId="6BFA95E3" w14:textId="77777777" w:rsidR="00E01366" w:rsidRPr="00C30464" w:rsidRDefault="00E01366" w:rsidP="00D760A0">
            <w:pPr>
              <w:jc w:val="center"/>
              <w:rPr>
                <w:rFonts w:ascii="Arial" w:hAnsi="Arial" w:cs="Arial"/>
                <w:sz w:val="16"/>
                <w:szCs w:val="16"/>
              </w:rPr>
            </w:pPr>
          </w:p>
        </w:tc>
        <w:tc>
          <w:tcPr>
            <w:tcW w:w="650" w:type="dxa"/>
            <w:tcBorders>
              <w:bottom w:val="single" w:sz="4" w:space="0" w:color="auto"/>
            </w:tcBorders>
            <w:shd w:val="clear" w:color="auto" w:fill="auto"/>
            <w:vAlign w:val="center"/>
          </w:tcPr>
          <w:p w14:paraId="075524EC" w14:textId="77777777" w:rsidR="00E01366" w:rsidRPr="00C30464" w:rsidRDefault="00E01366" w:rsidP="00D760A0">
            <w:pPr>
              <w:jc w:val="center"/>
              <w:rPr>
                <w:rFonts w:ascii="Arial" w:hAnsi="Arial" w:cs="Arial"/>
                <w:sz w:val="16"/>
                <w:szCs w:val="18"/>
              </w:rPr>
            </w:pPr>
          </w:p>
        </w:tc>
        <w:tc>
          <w:tcPr>
            <w:tcW w:w="681" w:type="dxa"/>
            <w:tcBorders>
              <w:bottom w:val="single" w:sz="4" w:space="0" w:color="auto"/>
            </w:tcBorders>
            <w:shd w:val="clear" w:color="auto" w:fill="auto"/>
            <w:vAlign w:val="center"/>
          </w:tcPr>
          <w:p w14:paraId="68762429" w14:textId="77777777" w:rsidR="00E01366" w:rsidRPr="00C30464" w:rsidRDefault="00E01366" w:rsidP="00D760A0">
            <w:pPr>
              <w:jc w:val="center"/>
              <w:rPr>
                <w:rFonts w:ascii="Arial" w:hAnsi="Arial" w:cs="Arial"/>
                <w:sz w:val="16"/>
                <w:szCs w:val="18"/>
              </w:rPr>
            </w:pPr>
          </w:p>
        </w:tc>
        <w:tc>
          <w:tcPr>
            <w:tcW w:w="591" w:type="dxa"/>
            <w:tcBorders>
              <w:top w:val="single" w:sz="4" w:space="0" w:color="auto"/>
              <w:bottom w:val="single" w:sz="4" w:space="0" w:color="auto"/>
            </w:tcBorders>
            <w:shd w:val="clear" w:color="auto" w:fill="auto"/>
            <w:vAlign w:val="center"/>
          </w:tcPr>
          <w:p w14:paraId="17561C1A" w14:textId="77777777" w:rsidR="00E01366" w:rsidRPr="00C30464" w:rsidRDefault="00E01366" w:rsidP="00D760A0">
            <w:pPr>
              <w:jc w:val="center"/>
              <w:rPr>
                <w:rFonts w:ascii="Arial" w:hAnsi="Arial" w:cs="Arial"/>
                <w:sz w:val="16"/>
                <w:szCs w:val="18"/>
              </w:rPr>
            </w:pPr>
          </w:p>
        </w:tc>
        <w:tc>
          <w:tcPr>
            <w:tcW w:w="709" w:type="dxa"/>
            <w:tcBorders>
              <w:bottom w:val="single" w:sz="4" w:space="0" w:color="auto"/>
            </w:tcBorders>
            <w:shd w:val="clear" w:color="auto" w:fill="auto"/>
            <w:vAlign w:val="center"/>
          </w:tcPr>
          <w:p w14:paraId="5D80D7CD" w14:textId="77777777" w:rsidR="00E01366" w:rsidRPr="00C30464" w:rsidRDefault="00E01366" w:rsidP="00D760A0">
            <w:pPr>
              <w:jc w:val="center"/>
              <w:rPr>
                <w:rFonts w:ascii="Arial" w:hAnsi="Arial" w:cs="Arial"/>
                <w:sz w:val="16"/>
                <w:szCs w:val="18"/>
              </w:rPr>
            </w:pPr>
          </w:p>
        </w:tc>
        <w:tc>
          <w:tcPr>
            <w:tcW w:w="624" w:type="dxa"/>
            <w:tcBorders>
              <w:bottom w:val="single" w:sz="4" w:space="0" w:color="auto"/>
            </w:tcBorders>
            <w:shd w:val="clear" w:color="auto" w:fill="auto"/>
            <w:vAlign w:val="center"/>
          </w:tcPr>
          <w:p w14:paraId="32E3C2D1" w14:textId="77777777" w:rsidR="00E01366" w:rsidRPr="00C30464" w:rsidRDefault="00E01366" w:rsidP="00D760A0">
            <w:pPr>
              <w:jc w:val="center"/>
              <w:rPr>
                <w:rFonts w:ascii="Arial" w:hAnsi="Arial" w:cs="Arial"/>
                <w:sz w:val="16"/>
                <w:szCs w:val="18"/>
              </w:rPr>
            </w:pPr>
          </w:p>
        </w:tc>
        <w:tc>
          <w:tcPr>
            <w:tcW w:w="579" w:type="dxa"/>
            <w:tcBorders>
              <w:top w:val="single" w:sz="4" w:space="0" w:color="auto"/>
              <w:bottom w:val="single" w:sz="4" w:space="0" w:color="auto"/>
            </w:tcBorders>
            <w:shd w:val="clear" w:color="auto" w:fill="auto"/>
            <w:vAlign w:val="center"/>
          </w:tcPr>
          <w:p w14:paraId="66B5A29E" w14:textId="77777777" w:rsidR="00E01366" w:rsidRPr="00C30464" w:rsidRDefault="00E01366" w:rsidP="00D760A0">
            <w:pPr>
              <w:jc w:val="center"/>
              <w:rPr>
                <w:rFonts w:ascii="Arial" w:hAnsi="Arial" w:cs="Arial"/>
                <w:sz w:val="16"/>
                <w:szCs w:val="18"/>
              </w:rPr>
            </w:pPr>
          </w:p>
        </w:tc>
        <w:tc>
          <w:tcPr>
            <w:tcW w:w="603" w:type="dxa"/>
            <w:tcBorders>
              <w:bottom w:val="single" w:sz="4" w:space="0" w:color="auto"/>
            </w:tcBorders>
            <w:shd w:val="clear" w:color="auto" w:fill="auto"/>
            <w:vAlign w:val="center"/>
          </w:tcPr>
          <w:p w14:paraId="612C674E" w14:textId="77777777" w:rsidR="00E01366" w:rsidRPr="00C30464" w:rsidRDefault="00E01366" w:rsidP="00D760A0">
            <w:pPr>
              <w:jc w:val="center"/>
              <w:rPr>
                <w:rFonts w:ascii="Arial" w:hAnsi="Arial" w:cs="Arial"/>
                <w:sz w:val="16"/>
                <w:szCs w:val="18"/>
              </w:rPr>
            </w:pPr>
          </w:p>
        </w:tc>
        <w:tc>
          <w:tcPr>
            <w:tcW w:w="595" w:type="dxa"/>
            <w:tcBorders>
              <w:bottom w:val="single" w:sz="4" w:space="0" w:color="auto"/>
            </w:tcBorders>
            <w:shd w:val="clear" w:color="auto" w:fill="auto"/>
            <w:vAlign w:val="center"/>
          </w:tcPr>
          <w:p w14:paraId="7F84085A" w14:textId="77777777" w:rsidR="00E01366" w:rsidRPr="00C30464" w:rsidRDefault="00E01366" w:rsidP="00D760A0">
            <w:pPr>
              <w:jc w:val="center"/>
              <w:rPr>
                <w:rFonts w:ascii="Arial" w:hAnsi="Arial" w:cs="Arial"/>
                <w:sz w:val="16"/>
                <w:szCs w:val="18"/>
              </w:rPr>
            </w:pPr>
          </w:p>
        </w:tc>
        <w:tc>
          <w:tcPr>
            <w:tcW w:w="592" w:type="dxa"/>
            <w:tcBorders>
              <w:top w:val="single" w:sz="4" w:space="0" w:color="auto"/>
              <w:bottom w:val="single" w:sz="4" w:space="0" w:color="auto"/>
            </w:tcBorders>
            <w:shd w:val="clear" w:color="auto" w:fill="auto"/>
            <w:vAlign w:val="center"/>
          </w:tcPr>
          <w:p w14:paraId="07416FEA" w14:textId="77777777" w:rsidR="00E01366" w:rsidRPr="00C30464" w:rsidRDefault="00E01366" w:rsidP="00D760A0">
            <w:pPr>
              <w:jc w:val="center"/>
              <w:rPr>
                <w:rFonts w:ascii="Arial" w:hAnsi="Arial" w:cs="Arial"/>
                <w:sz w:val="16"/>
                <w:szCs w:val="18"/>
              </w:rPr>
            </w:pPr>
          </w:p>
        </w:tc>
        <w:tc>
          <w:tcPr>
            <w:tcW w:w="593" w:type="dxa"/>
            <w:tcBorders>
              <w:bottom w:val="single" w:sz="4" w:space="0" w:color="auto"/>
            </w:tcBorders>
            <w:shd w:val="clear" w:color="auto" w:fill="auto"/>
            <w:vAlign w:val="center"/>
          </w:tcPr>
          <w:p w14:paraId="746F2A5D" w14:textId="77777777" w:rsidR="00E01366" w:rsidRPr="00C30464" w:rsidRDefault="00E01366" w:rsidP="00D760A0">
            <w:pPr>
              <w:jc w:val="center"/>
              <w:rPr>
                <w:rFonts w:ascii="Arial" w:hAnsi="Arial" w:cs="Arial"/>
                <w:sz w:val="16"/>
                <w:szCs w:val="18"/>
              </w:rPr>
            </w:pPr>
          </w:p>
        </w:tc>
        <w:tc>
          <w:tcPr>
            <w:tcW w:w="592" w:type="dxa"/>
            <w:tcBorders>
              <w:bottom w:val="single" w:sz="4" w:space="0" w:color="auto"/>
            </w:tcBorders>
            <w:shd w:val="clear" w:color="auto" w:fill="auto"/>
            <w:vAlign w:val="center"/>
          </w:tcPr>
          <w:p w14:paraId="67B92120" w14:textId="77777777" w:rsidR="00E01366" w:rsidRPr="00C30464" w:rsidRDefault="00E01366" w:rsidP="00D760A0">
            <w:pPr>
              <w:jc w:val="center"/>
              <w:rPr>
                <w:rFonts w:ascii="Arial" w:hAnsi="Arial" w:cs="Arial"/>
                <w:sz w:val="16"/>
                <w:szCs w:val="18"/>
              </w:rPr>
            </w:pPr>
          </w:p>
        </w:tc>
        <w:tc>
          <w:tcPr>
            <w:tcW w:w="592" w:type="dxa"/>
            <w:tcBorders>
              <w:top w:val="single" w:sz="4" w:space="0" w:color="auto"/>
              <w:bottom w:val="single" w:sz="4" w:space="0" w:color="auto"/>
            </w:tcBorders>
            <w:shd w:val="clear" w:color="auto" w:fill="auto"/>
            <w:vAlign w:val="center"/>
          </w:tcPr>
          <w:p w14:paraId="4438C5D5" w14:textId="77777777" w:rsidR="00E01366" w:rsidRPr="00C30464" w:rsidRDefault="00E01366" w:rsidP="00D760A0">
            <w:pPr>
              <w:jc w:val="center"/>
              <w:rPr>
                <w:rFonts w:ascii="Arial" w:hAnsi="Arial" w:cs="Arial"/>
                <w:sz w:val="16"/>
                <w:szCs w:val="18"/>
              </w:rPr>
            </w:pPr>
          </w:p>
        </w:tc>
        <w:tc>
          <w:tcPr>
            <w:tcW w:w="767" w:type="dxa"/>
            <w:tcBorders>
              <w:bottom w:val="single" w:sz="4" w:space="0" w:color="auto"/>
              <w:right w:val="single" w:sz="4" w:space="0" w:color="auto"/>
            </w:tcBorders>
            <w:shd w:val="clear" w:color="auto" w:fill="auto"/>
            <w:vAlign w:val="center"/>
          </w:tcPr>
          <w:p w14:paraId="510A43DC" w14:textId="77777777" w:rsidR="00E01366" w:rsidRPr="00C30464" w:rsidRDefault="00E01366" w:rsidP="00D760A0">
            <w:pPr>
              <w:jc w:val="center"/>
              <w:rPr>
                <w:rFonts w:ascii="Arial" w:hAnsi="Arial" w:cs="Arial"/>
                <w:sz w:val="16"/>
                <w:szCs w:val="18"/>
              </w:rPr>
            </w:pPr>
          </w:p>
        </w:tc>
      </w:tr>
    </w:tbl>
    <w:p w14:paraId="56272EEF" w14:textId="77777777" w:rsidR="00E01366" w:rsidRPr="00F73F93" w:rsidRDefault="00E01366">
      <w:pPr>
        <w:rPr>
          <w:rFonts w:ascii="Arial" w:hAnsi="Arial" w:cs="Arial"/>
          <w:color w:val="FF0000"/>
          <w:sz w:val="20"/>
          <w:szCs w:val="20"/>
        </w:rPr>
      </w:pPr>
    </w:p>
    <w:tbl>
      <w:tblPr>
        <w:tblStyle w:val="Tablaconcuadrcula"/>
        <w:tblW w:w="9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44"/>
        <w:gridCol w:w="698"/>
        <w:gridCol w:w="693"/>
        <w:gridCol w:w="2071"/>
        <w:gridCol w:w="1102"/>
        <w:gridCol w:w="800"/>
        <w:gridCol w:w="692"/>
      </w:tblGrid>
      <w:tr w:rsidR="00C30464" w:rsidRPr="00C30464" w14:paraId="0045F3AD" w14:textId="7BCFB288" w:rsidTr="002C6B38">
        <w:trPr>
          <w:trHeight w:val="241"/>
        </w:trPr>
        <w:tc>
          <w:tcPr>
            <w:tcW w:w="95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A010B4E" w14:textId="5D6F935F" w:rsidR="00AB3CA7" w:rsidRPr="00C30464" w:rsidRDefault="002C6B38">
            <w:pPr>
              <w:rPr>
                <w:rFonts w:ascii="Arial" w:hAnsi="Arial" w:cs="Arial"/>
                <w:b/>
                <w:szCs w:val="20"/>
              </w:rPr>
            </w:pPr>
            <w:bookmarkStart w:id="1" w:name="_Hlk60147480"/>
            <w:r w:rsidRPr="00C30464">
              <w:rPr>
                <w:rFonts w:ascii="Arial" w:hAnsi="Arial" w:cs="Arial"/>
                <w:b/>
                <w:bCs/>
                <w:szCs w:val="20"/>
              </w:rPr>
              <w:t>Definición</w:t>
            </w:r>
          </w:p>
        </w:tc>
      </w:tr>
      <w:tr w:rsidR="00F73F93" w:rsidRPr="00F73F93" w14:paraId="2AAFE8C6" w14:textId="77777777" w:rsidTr="002C6B38">
        <w:trPr>
          <w:trHeight w:val="241"/>
        </w:trPr>
        <w:tc>
          <w:tcPr>
            <w:tcW w:w="95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39121C1" w14:textId="77777777" w:rsidR="0045757D" w:rsidRDefault="0045757D" w:rsidP="00C30464">
            <w:pPr>
              <w:contextualSpacing/>
              <w:jc w:val="both"/>
              <w:rPr>
                <w:rFonts w:ascii="Arial" w:hAnsi="Arial"/>
                <w:sz w:val="20"/>
                <w:szCs w:val="20"/>
              </w:rPr>
            </w:pPr>
          </w:p>
          <w:p w14:paraId="41EC5F7B" w14:textId="362C8AA3" w:rsidR="0045757D" w:rsidRDefault="0045757D" w:rsidP="0045757D">
            <w:pPr>
              <w:contextualSpacing/>
              <w:jc w:val="both"/>
              <w:rPr>
                <w:rFonts w:ascii="Arial" w:hAnsi="Arial"/>
                <w:sz w:val="20"/>
                <w:szCs w:val="20"/>
              </w:rPr>
            </w:pPr>
            <w:r>
              <w:rPr>
                <w:rFonts w:ascii="Arial" w:hAnsi="Arial"/>
                <w:sz w:val="20"/>
                <w:szCs w:val="20"/>
              </w:rPr>
              <w:t xml:space="preserve">El indicador representa el número de </w:t>
            </w:r>
            <w:r w:rsidRPr="00863D7D">
              <w:rPr>
                <w:rFonts w:ascii="Arial" w:hAnsi="Arial"/>
                <w:sz w:val="20"/>
                <w:szCs w:val="20"/>
              </w:rPr>
              <w:t>Instalaciones de la administración central</w:t>
            </w:r>
            <w:r>
              <w:rPr>
                <w:rFonts w:ascii="Arial" w:hAnsi="Arial" w:cs="Arial"/>
                <w:sz w:val="16"/>
                <w:szCs w:val="16"/>
              </w:rPr>
              <w:t xml:space="preserve"> </w:t>
            </w:r>
            <w:r>
              <w:rPr>
                <w:rFonts w:ascii="Arial" w:hAnsi="Arial"/>
                <w:sz w:val="20"/>
                <w:szCs w:val="20"/>
              </w:rPr>
              <w:t xml:space="preserve">que brindan el </w:t>
            </w:r>
            <w:r w:rsidRPr="00863D7D">
              <w:rPr>
                <w:rFonts w:ascii="Arial" w:hAnsi="Arial"/>
                <w:sz w:val="20"/>
                <w:szCs w:val="20"/>
              </w:rPr>
              <w:t>Servicio de Gestión Institucional en Educación Superior Universitaria</w:t>
            </w:r>
            <w:r>
              <w:rPr>
                <w:rFonts w:ascii="Arial" w:hAnsi="Arial"/>
                <w:sz w:val="20"/>
                <w:szCs w:val="20"/>
              </w:rPr>
              <w:t xml:space="preserve"> en estado situacional inadecuado respecto al total de instalaciones </w:t>
            </w:r>
            <w:r w:rsidRPr="00AA2E79">
              <w:rPr>
                <w:rFonts w:ascii="Arial" w:hAnsi="Arial"/>
                <w:sz w:val="20"/>
                <w:szCs w:val="20"/>
              </w:rPr>
              <w:t>de la administración central</w:t>
            </w:r>
            <w:r>
              <w:rPr>
                <w:rFonts w:ascii="Arial" w:hAnsi="Arial"/>
                <w:sz w:val="20"/>
                <w:szCs w:val="20"/>
              </w:rPr>
              <w:t xml:space="preserve"> en las universidades públicas, expresado como porcentaje de las instalaciones con dicha característica.</w:t>
            </w:r>
          </w:p>
          <w:p w14:paraId="54043EDC" w14:textId="77777777" w:rsidR="0045757D" w:rsidRDefault="0045757D" w:rsidP="00C30464">
            <w:pPr>
              <w:contextualSpacing/>
              <w:jc w:val="both"/>
              <w:rPr>
                <w:rFonts w:ascii="Arial" w:hAnsi="Arial"/>
                <w:sz w:val="20"/>
                <w:szCs w:val="20"/>
              </w:rPr>
            </w:pPr>
          </w:p>
          <w:p w14:paraId="650F8C93" w14:textId="77EE7B40" w:rsidR="00C30464" w:rsidRPr="005C12B3" w:rsidRDefault="00C30464" w:rsidP="00C30464">
            <w:pPr>
              <w:contextualSpacing/>
              <w:jc w:val="both"/>
              <w:rPr>
                <w:rFonts w:ascii="Arial" w:hAnsi="Arial"/>
                <w:sz w:val="20"/>
                <w:szCs w:val="20"/>
              </w:rPr>
            </w:pPr>
            <w:r w:rsidRPr="005C12B3">
              <w:rPr>
                <w:rFonts w:ascii="Arial" w:hAnsi="Arial"/>
                <w:sz w:val="20"/>
                <w:szCs w:val="20"/>
              </w:rPr>
              <w:t>La Administración Central de la Universidad es la encargada de brindar el servicio de Gestión Institucional</w:t>
            </w:r>
            <w:r>
              <w:rPr>
                <w:rFonts w:ascii="Arial" w:hAnsi="Arial"/>
                <w:sz w:val="20"/>
                <w:szCs w:val="20"/>
              </w:rPr>
              <w:t>.</w:t>
            </w:r>
            <w:r w:rsidRPr="005C12B3">
              <w:rPr>
                <w:rFonts w:ascii="Arial" w:hAnsi="Arial"/>
                <w:sz w:val="20"/>
                <w:szCs w:val="20"/>
              </w:rPr>
              <w:t xml:space="preserve"> </w:t>
            </w:r>
            <w:r>
              <w:rPr>
                <w:rFonts w:ascii="Arial" w:hAnsi="Arial"/>
                <w:sz w:val="20"/>
                <w:szCs w:val="20"/>
              </w:rPr>
              <w:t>L</w:t>
            </w:r>
            <w:r w:rsidRPr="005C12B3">
              <w:rPr>
                <w:rFonts w:ascii="Arial" w:hAnsi="Arial"/>
                <w:sz w:val="20"/>
                <w:szCs w:val="20"/>
              </w:rPr>
              <w:t xml:space="preserve">a </w:t>
            </w:r>
            <w:r>
              <w:rPr>
                <w:rFonts w:ascii="Arial" w:hAnsi="Arial"/>
                <w:sz w:val="20"/>
                <w:szCs w:val="20"/>
              </w:rPr>
              <w:t>Administración Central,</w:t>
            </w:r>
            <w:r w:rsidRPr="005C12B3">
              <w:rPr>
                <w:rFonts w:ascii="Arial" w:hAnsi="Arial"/>
                <w:sz w:val="20"/>
                <w:szCs w:val="20"/>
              </w:rPr>
              <w:t xml:space="preserve"> a través de sus dependencias</w:t>
            </w:r>
            <w:r>
              <w:rPr>
                <w:rFonts w:ascii="Arial" w:hAnsi="Arial"/>
                <w:sz w:val="20"/>
                <w:szCs w:val="20"/>
              </w:rPr>
              <w:t>,</w:t>
            </w:r>
            <w:r w:rsidRPr="005C12B3">
              <w:rPr>
                <w:rFonts w:ascii="Arial" w:hAnsi="Arial"/>
                <w:sz w:val="20"/>
                <w:szCs w:val="20"/>
              </w:rPr>
              <w:t xml:space="preserve"> brinda servicios transversales de soporte a la gestión académica, administrativa y financiera, así como, a la gestión de la investigación de todas las dependencias académicas y administrativas de la Universidad.    </w:t>
            </w:r>
          </w:p>
          <w:p w14:paraId="2090CA22" w14:textId="77777777" w:rsidR="00C30464" w:rsidRPr="005C12B3" w:rsidRDefault="00C30464" w:rsidP="00C30464">
            <w:pPr>
              <w:contextualSpacing/>
              <w:jc w:val="both"/>
              <w:rPr>
                <w:rFonts w:ascii="Arial" w:hAnsi="Arial"/>
                <w:sz w:val="20"/>
                <w:szCs w:val="20"/>
              </w:rPr>
            </w:pPr>
          </w:p>
          <w:p w14:paraId="6DA72EF3" w14:textId="0C6668ED" w:rsidR="00C30464" w:rsidRPr="005C12B3" w:rsidRDefault="00C30464" w:rsidP="00C30464">
            <w:pPr>
              <w:contextualSpacing/>
              <w:jc w:val="both"/>
              <w:rPr>
                <w:rFonts w:ascii="Arial" w:hAnsi="Arial"/>
                <w:sz w:val="20"/>
                <w:szCs w:val="20"/>
              </w:rPr>
            </w:pPr>
            <w:r w:rsidRPr="005C12B3">
              <w:rPr>
                <w:rFonts w:ascii="Arial" w:hAnsi="Arial"/>
                <w:sz w:val="20"/>
                <w:szCs w:val="20"/>
              </w:rPr>
              <w:t>Entre las</w:t>
            </w:r>
            <w:r w:rsidR="0045757D">
              <w:rPr>
                <w:rFonts w:ascii="Arial" w:hAnsi="Arial"/>
                <w:sz w:val="20"/>
                <w:szCs w:val="20"/>
              </w:rPr>
              <w:t xml:space="preserve"> instalaciones de la administración central</w:t>
            </w:r>
            <w:r w:rsidRPr="005C12B3">
              <w:rPr>
                <w:rFonts w:ascii="Arial" w:hAnsi="Arial"/>
                <w:sz w:val="20"/>
                <w:szCs w:val="20"/>
              </w:rPr>
              <w:t xml:space="preserve"> más representativas se encuentran: </w:t>
            </w:r>
            <w:r>
              <w:rPr>
                <w:rFonts w:ascii="Arial" w:hAnsi="Arial"/>
                <w:sz w:val="20"/>
                <w:szCs w:val="20"/>
              </w:rPr>
              <w:t>l</w:t>
            </w:r>
            <w:r w:rsidRPr="005C12B3">
              <w:rPr>
                <w:rFonts w:ascii="Arial" w:hAnsi="Arial"/>
                <w:sz w:val="20"/>
                <w:szCs w:val="20"/>
              </w:rPr>
              <w:t>a</w:t>
            </w:r>
            <w:r w:rsidR="0045757D">
              <w:rPr>
                <w:rFonts w:ascii="Arial" w:hAnsi="Arial"/>
                <w:sz w:val="20"/>
                <w:szCs w:val="20"/>
              </w:rPr>
              <w:t>s</w:t>
            </w:r>
            <w:r w:rsidRPr="005C12B3">
              <w:rPr>
                <w:rFonts w:ascii="Arial" w:hAnsi="Arial"/>
                <w:sz w:val="20"/>
                <w:szCs w:val="20"/>
              </w:rPr>
              <w:t xml:space="preserve"> sede</w:t>
            </w:r>
            <w:r w:rsidR="0045757D">
              <w:rPr>
                <w:rFonts w:ascii="Arial" w:hAnsi="Arial"/>
                <w:sz w:val="20"/>
                <w:szCs w:val="20"/>
              </w:rPr>
              <w:t>s</w:t>
            </w:r>
            <w:r w:rsidRPr="005C12B3">
              <w:rPr>
                <w:rFonts w:ascii="Arial" w:hAnsi="Arial"/>
                <w:sz w:val="20"/>
                <w:szCs w:val="20"/>
              </w:rPr>
              <w:t xml:space="preserve"> </w:t>
            </w:r>
            <w:r>
              <w:rPr>
                <w:rFonts w:ascii="Arial" w:hAnsi="Arial"/>
                <w:sz w:val="20"/>
                <w:szCs w:val="20"/>
              </w:rPr>
              <w:t>a</w:t>
            </w:r>
            <w:r w:rsidRPr="005C12B3">
              <w:rPr>
                <w:rFonts w:ascii="Arial" w:hAnsi="Arial"/>
                <w:sz w:val="20"/>
                <w:szCs w:val="20"/>
              </w:rPr>
              <w:t>dministra</w:t>
            </w:r>
            <w:r w:rsidR="0045757D">
              <w:rPr>
                <w:rFonts w:ascii="Arial" w:hAnsi="Arial"/>
                <w:sz w:val="20"/>
                <w:szCs w:val="20"/>
              </w:rPr>
              <w:t>tivas de la universidad</w:t>
            </w:r>
            <w:r w:rsidRPr="005C12B3">
              <w:rPr>
                <w:rFonts w:ascii="Arial" w:hAnsi="Arial"/>
                <w:sz w:val="20"/>
                <w:szCs w:val="20"/>
              </w:rPr>
              <w:t xml:space="preserve">, </w:t>
            </w:r>
            <w:r w:rsidR="0045757D">
              <w:rPr>
                <w:rFonts w:ascii="Arial" w:hAnsi="Arial"/>
                <w:sz w:val="20"/>
                <w:szCs w:val="20"/>
              </w:rPr>
              <w:t xml:space="preserve">los </w:t>
            </w:r>
            <w:r>
              <w:rPr>
                <w:rFonts w:ascii="Arial" w:hAnsi="Arial"/>
                <w:sz w:val="20"/>
                <w:szCs w:val="20"/>
              </w:rPr>
              <w:t>c</w:t>
            </w:r>
            <w:r w:rsidRPr="005C12B3">
              <w:rPr>
                <w:rFonts w:ascii="Arial" w:hAnsi="Arial"/>
                <w:sz w:val="20"/>
                <w:szCs w:val="20"/>
              </w:rPr>
              <w:t>omedor</w:t>
            </w:r>
            <w:r w:rsidR="0045757D">
              <w:rPr>
                <w:rFonts w:ascii="Arial" w:hAnsi="Arial"/>
                <w:sz w:val="20"/>
                <w:szCs w:val="20"/>
              </w:rPr>
              <w:t>es</w:t>
            </w:r>
            <w:r w:rsidRPr="005C12B3">
              <w:rPr>
                <w:rFonts w:ascii="Arial" w:hAnsi="Arial"/>
                <w:sz w:val="20"/>
                <w:szCs w:val="20"/>
              </w:rPr>
              <w:t xml:space="preserve"> </w:t>
            </w:r>
            <w:r>
              <w:rPr>
                <w:rFonts w:ascii="Arial" w:hAnsi="Arial"/>
                <w:sz w:val="20"/>
                <w:szCs w:val="20"/>
              </w:rPr>
              <w:t>u</w:t>
            </w:r>
            <w:r w:rsidRPr="005C12B3">
              <w:rPr>
                <w:rFonts w:ascii="Arial" w:hAnsi="Arial"/>
                <w:sz w:val="20"/>
                <w:szCs w:val="20"/>
              </w:rPr>
              <w:t>niversitario</w:t>
            </w:r>
            <w:r w:rsidR="00EF6362">
              <w:rPr>
                <w:rFonts w:ascii="Arial" w:hAnsi="Arial"/>
                <w:sz w:val="20"/>
                <w:szCs w:val="20"/>
              </w:rPr>
              <w:t>s</w:t>
            </w:r>
            <w:r w:rsidRPr="005C12B3">
              <w:rPr>
                <w:rFonts w:ascii="Arial" w:hAnsi="Arial"/>
                <w:sz w:val="20"/>
                <w:szCs w:val="20"/>
              </w:rPr>
              <w:t xml:space="preserve">, </w:t>
            </w:r>
            <w:r w:rsidR="00E243BC">
              <w:rPr>
                <w:rFonts w:ascii="Arial" w:hAnsi="Arial"/>
                <w:sz w:val="20"/>
                <w:szCs w:val="20"/>
              </w:rPr>
              <w:t xml:space="preserve">biblioteca central, </w:t>
            </w:r>
            <w:r>
              <w:rPr>
                <w:rFonts w:ascii="Arial" w:hAnsi="Arial"/>
                <w:sz w:val="20"/>
                <w:szCs w:val="20"/>
              </w:rPr>
              <w:t>r</w:t>
            </w:r>
            <w:r w:rsidRPr="005C12B3">
              <w:rPr>
                <w:rFonts w:ascii="Arial" w:hAnsi="Arial"/>
                <w:sz w:val="20"/>
                <w:szCs w:val="20"/>
              </w:rPr>
              <w:t>esidencia</w:t>
            </w:r>
            <w:r w:rsidR="0045757D">
              <w:rPr>
                <w:rFonts w:ascii="Arial" w:hAnsi="Arial"/>
                <w:sz w:val="20"/>
                <w:szCs w:val="20"/>
              </w:rPr>
              <w:t>s</w:t>
            </w:r>
            <w:r w:rsidRPr="005C12B3">
              <w:rPr>
                <w:rFonts w:ascii="Arial" w:hAnsi="Arial"/>
                <w:sz w:val="20"/>
                <w:szCs w:val="20"/>
              </w:rPr>
              <w:t xml:space="preserve"> </w:t>
            </w:r>
            <w:r>
              <w:rPr>
                <w:rFonts w:ascii="Arial" w:hAnsi="Arial"/>
                <w:sz w:val="20"/>
                <w:szCs w:val="20"/>
              </w:rPr>
              <w:t>u</w:t>
            </w:r>
            <w:r w:rsidRPr="005C12B3">
              <w:rPr>
                <w:rFonts w:ascii="Arial" w:hAnsi="Arial"/>
                <w:sz w:val="20"/>
                <w:szCs w:val="20"/>
              </w:rPr>
              <w:t>niversitaria</w:t>
            </w:r>
            <w:r w:rsidR="0045757D">
              <w:rPr>
                <w:rFonts w:ascii="Arial" w:hAnsi="Arial"/>
                <w:sz w:val="20"/>
                <w:szCs w:val="20"/>
              </w:rPr>
              <w:t>s</w:t>
            </w:r>
            <w:r w:rsidRPr="005C12B3">
              <w:rPr>
                <w:rFonts w:ascii="Arial" w:hAnsi="Arial"/>
                <w:sz w:val="20"/>
                <w:szCs w:val="20"/>
              </w:rPr>
              <w:t xml:space="preserve">, </w:t>
            </w:r>
            <w:r w:rsidR="0045757D">
              <w:rPr>
                <w:rFonts w:ascii="Arial" w:hAnsi="Arial"/>
                <w:sz w:val="20"/>
                <w:szCs w:val="20"/>
              </w:rPr>
              <w:t>instalaciones deportivas</w:t>
            </w:r>
            <w:r w:rsidR="00E243BC">
              <w:rPr>
                <w:rFonts w:ascii="Arial" w:hAnsi="Arial"/>
                <w:sz w:val="20"/>
                <w:szCs w:val="20"/>
              </w:rPr>
              <w:t xml:space="preserve"> recreativas</w:t>
            </w:r>
            <w:r w:rsidRPr="005C12B3">
              <w:rPr>
                <w:rFonts w:ascii="Arial" w:hAnsi="Arial"/>
                <w:sz w:val="20"/>
                <w:szCs w:val="20"/>
              </w:rPr>
              <w:t xml:space="preserve">, </w:t>
            </w:r>
            <w:r w:rsidR="00E243BC">
              <w:rPr>
                <w:rFonts w:ascii="Arial" w:hAnsi="Arial"/>
                <w:sz w:val="20"/>
                <w:szCs w:val="20"/>
              </w:rPr>
              <w:t xml:space="preserve">sistemas de servicios básicos y urbanísticos, </w:t>
            </w:r>
            <w:r w:rsidRPr="005C12B3">
              <w:rPr>
                <w:rFonts w:ascii="Arial" w:hAnsi="Arial"/>
                <w:sz w:val="20"/>
                <w:szCs w:val="20"/>
              </w:rPr>
              <w:t xml:space="preserve">sistemas de </w:t>
            </w:r>
            <w:r>
              <w:rPr>
                <w:rFonts w:ascii="Arial" w:hAnsi="Arial"/>
                <w:sz w:val="20"/>
                <w:szCs w:val="20"/>
              </w:rPr>
              <w:t>t</w:t>
            </w:r>
            <w:r w:rsidRPr="005C12B3">
              <w:rPr>
                <w:rFonts w:ascii="Arial" w:hAnsi="Arial"/>
                <w:sz w:val="20"/>
                <w:szCs w:val="20"/>
              </w:rPr>
              <w:t xml:space="preserve">ransporte </w:t>
            </w:r>
            <w:r>
              <w:rPr>
                <w:rFonts w:ascii="Arial" w:hAnsi="Arial"/>
                <w:sz w:val="20"/>
                <w:szCs w:val="20"/>
              </w:rPr>
              <w:t>u</w:t>
            </w:r>
            <w:r w:rsidRPr="005C12B3">
              <w:rPr>
                <w:rFonts w:ascii="Arial" w:hAnsi="Arial"/>
                <w:sz w:val="20"/>
                <w:szCs w:val="20"/>
              </w:rPr>
              <w:t xml:space="preserve">niversitario, </w:t>
            </w:r>
            <w:r w:rsidR="00863D7D" w:rsidRPr="005C12B3">
              <w:rPr>
                <w:rFonts w:ascii="Arial" w:hAnsi="Arial"/>
                <w:sz w:val="20"/>
                <w:szCs w:val="20"/>
              </w:rPr>
              <w:t>y otras</w:t>
            </w:r>
            <w:r w:rsidRPr="005C12B3">
              <w:rPr>
                <w:rFonts w:ascii="Arial" w:hAnsi="Arial"/>
                <w:sz w:val="20"/>
                <w:szCs w:val="20"/>
              </w:rPr>
              <w:t xml:space="preserve"> </w:t>
            </w:r>
            <w:r w:rsidR="00E243BC">
              <w:rPr>
                <w:rFonts w:ascii="Arial" w:hAnsi="Arial"/>
                <w:sz w:val="20"/>
                <w:szCs w:val="20"/>
              </w:rPr>
              <w:t>instalaciones</w:t>
            </w:r>
            <w:r w:rsidRPr="005C12B3">
              <w:rPr>
                <w:rFonts w:ascii="Arial" w:hAnsi="Arial"/>
                <w:sz w:val="20"/>
                <w:szCs w:val="20"/>
              </w:rPr>
              <w:t xml:space="preserve"> que brindan servicios de soporte a la Gestión Institucional.</w:t>
            </w:r>
          </w:p>
          <w:p w14:paraId="7D7653A6" w14:textId="77777777" w:rsidR="00C30464" w:rsidRPr="005C12B3" w:rsidRDefault="00C30464" w:rsidP="00C30464">
            <w:pPr>
              <w:contextualSpacing/>
              <w:jc w:val="both"/>
              <w:rPr>
                <w:rFonts w:ascii="Arial" w:hAnsi="Arial"/>
                <w:sz w:val="20"/>
                <w:szCs w:val="20"/>
              </w:rPr>
            </w:pPr>
          </w:p>
          <w:p w14:paraId="2A6C1003" w14:textId="0CD88BAE" w:rsidR="00E243BC" w:rsidRDefault="00E243BC" w:rsidP="00E243BC">
            <w:pPr>
              <w:contextualSpacing/>
              <w:jc w:val="both"/>
              <w:rPr>
                <w:rFonts w:ascii="Arial" w:hAnsi="Arial"/>
                <w:sz w:val="20"/>
                <w:szCs w:val="20"/>
              </w:rPr>
            </w:pPr>
            <w:r>
              <w:rPr>
                <w:rFonts w:ascii="Arial" w:hAnsi="Arial"/>
                <w:sz w:val="20"/>
                <w:szCs w:val="20"/>
              </w:rPr>
              <w:t xml:space="preserve">Las instalaciones de la administración central se encuentran en estado situacional inadecuado, cuando no cumple con los estándares de calidad exigidos y/o niveles de servicio del </w:t>
            </w:r>
            <w:r w:rsidRPr="00863D7D">
              <w:rPr>
                <w:rFonts w:ascii="Arial" w:hAnsi="Arial"/>
                <w:sz w:val="20"/>
                <w:szCs w:val="20"/>
              </w:rPr>
              <w:t>Servicio de Gestión Institucional en Educación Superior Universitaria</w:t>
            </w:r>
            <w:r>
              <w:rPr>
                <w:rFonts w:ascii="Arial" w:hAnsi="Arial"/>
                <w:sz w:val="20"/>
                <w:szCs w:val="20"/>
              </w:rPr>
              <w:t>.</w:t>
            </w:r>
          </w:p>
          <w:p w14:paraId="26FBDF1F" w14:textId="27AB8147" w:rsidR="00E243BC" w:rsidRDefault="00E243BC" w:rsidP="00E243BC">
            <w:pPr>
              <w:contextualSpacing/>
              <w:jc w:val="both"/>
              <w:rPr>
                <w:rFonts w:ascii="Arial" w:hAnsi="Arial"/>
                <w:sz w:val="20"/>
                <w:szCs w:val="20"/>
              </w:rPr>
            </w:pPr>
          </w:p>
          <w:p w14:paraId="70EA587D" w14:textId="0A649515" w:rsidR="00E243BC" w:rsidRPr="00DC0E89" w:rsidRDefault="00E243BC" w:rsidP="00E243BC">
            <w:pPr>
              <w:contextualSpacing/>
              <w:jc w:val="both"/>
              <w:rPr>
                <w:rFonts w:ascii="Arial" w:hAnsi="Arial"/>
                <w:sz w:val="20"/>
                <w:szCs w:val="20"/>
              </w:rPr>
            </w:pPr>
            <w:r>
              <w:rPr>
                <w:rFonts w:ascii="Arial" w:hAnsi="Arial"/>
                <w:sz w:val="20"/>
                <w:szCs w:val="20"/>
              </w:rPr>
              <w:t>Las instalaciones de la administración central a las que se hace referencia en el presente indicador son aquellas que ya cuentan con una infraestructura existente independiente</w:t>
            </w:r>
            <w:r w:rsidR="00EF6362">
              <w:rPr>
                <w:rFonts w:ascii="Arial" w:hAnsi="Arial"/>
                <w:sz w:val="20"/>
                <w:szCs w:val="20"/>
              </w:rPr>
              <w:t>mente</w:t>
            </w:r>
            <w:r>
              <w:rPr>
                <w:rFonts w:ascii="Arial" w:hAnsi="Arial"/>
                <w:sz w:val="20"/>
                <w:szCs w:val="20"/>
              </w:rPr>
              <w:t xml:space="preserve"> de su estado de funcionamiento o situación de posesión (infraestructura propia, alquilada, cedida, entre otros).</w:t>
            </w:r>
          </w:p>
          <w:p w14:paraId="7F52E88A" w14:textId="25155DB2" w:rsidR="00847FB8" w:rsidRPr="00F73F93" w:rsidRDefault="00847FB8" w:rsidP="00847FB8">
            <w:pPr>
              <w:pStyle w:val="yiv8864493563msolistparagraph"/>
              <w:shd w:val="clear" w:color="auto" w:fill="FFFFFF"/>
              <w:spacing w:before="0" w:beforeAutospacing="0" w:after="0" w:afterAutospacing="0"/>
              <w:jc w:val="both"/>
              <w:rPr>
                <w:rFonts w:ascii="Arial" w:eastAsiaTheme="minorHAnsi" w:hAnsi="Arial" w:cs="Arial"/>
                <w:color w:val="FF0000"/>
                <w:sz w:val="20"/>
                <w:szCs w:val="18"/>
                <w:lang w:eastAsia="es-ES_tradnl"/>
              </w:rPr>
            </w:pPr>
          </w:p>
        </w:tc>
      </w:tr>
      <w:tr w:rsidR="00C30464" w:rsidRPr="00C30464" w14:paraId="55A12013" w14:textId="77777777" w:rsidTr="009F6EE7">
        <w:trPr>
          <w:trHeight w:val="241"/>
        </w:trPr>
        <w:tc>
          <w:tcPr>
            <w:tcW w:w="95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8202E69" w14:textId="2A4E3277" w:rsidR="002C6B38" w:rsidRPr="00C30464" w:rsidRDefault="002C6B38" w:rsidP="002C6B38">
            <w:pPr>
              <w:rPr>
                <w:rFonts w:ascii="Arial" w:hAnsi="Arial" w:cs="Arial"/>
                <w:b/>
                <w:szCs w:val="20"/>
              </w:rPr>
            </w:pPr>
            <w:r w:rsidRPr="00C30464">
              <w:rPr>
                <w:rFonts w:ascii="Arial" w:hAnsi="Arial" w:cs="Arial"/>
                <w:b/>
                <w:bCs/>
                <w:szCs w:val="20"/>
              </w:rPr>
              <w:t>Justificación</w:t>
            </w:r>
          </w:p>
        </w:tc>
      </w:tr>
      <w:tr w:rsidR="00C30464" w:rsidRPr="00C30464" w14:paraId="55F87BB1" w14:textId="77777777" w:rsidTr="009F6EE7">
        <w:trPr>
          <w:trHeight w:val="241"/>
        </w:trPr>
        <w:tc>
          <w:tcPr>
            <w:tcW w:w="95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261BB82" w14:textId="3DFEB2C2" w:rsidR="00C30464" w:rsidRDefault="00C30464" w:rsidP="00C30464">
            <w:pPr>
              <w:contextualSpacing/>
              <w:jc w:val="both"/>
              <w:rPr>
                <w:rFonts w:ascii="Arial" w:hAnsi="Arial"/>
                <w:sz w:val="20"/>
                <w:szCs w:val="20"/>
              </w:rPr>
            </w:pPr>
            <w:r w:rsidRPr="00C30464">
              <w:rPr>
                <w:rFonts w:ascii="Arial" w:hAnsi="Arial"/>
                <w:sz w:val="20"/>
                <w:szCs w:val="20"/>
              </w:rPr>
              <w:t xml:space="preserve">Este indicador permite medir directamente la brecha de calidad en la infraestructura que brinda el servicio de Gestión Institucional. El cierre </w:t>
            </w:r>
            <w:r w:rsidR="00EF6362">
              <w:rPr>
                <w:rFonts w:ascii="Arial" w:hAnsi="Arial"/>
                <w:sz w:val="20"/>
                <w:szCs w:val="20"/>
              </w:rPr>
              <w:t xml:space="preserve">de brechas </w:t>
            </w:r>
            <w:r w:rsidRPr="00C30464">
              <w:rPr>
                <w:rFonts w:ascii="Arial" w:hAnsi="Arial"/>
                <w:sz w:val="20"/>
                <w:szCs w:val="20"/>
              </w:rPr>
              <w:t>está vinculado directamente con la ejecución de inversiones.</w:t>
            </w:r>
          </w:p>
          <w:p w14:paraId="6F1CA3BA" w14:textId="38C1FBF3" w:rsidR="00E044E9" w:rsidRDefault="00E044E9" w:rsidP="00C30464">
            <w:pPr>
              <w:contextualSpacing/>
              <w:jc w:val="both"/>
              <w:rPr>
                <w:rFonts w:ascii="Arial" w:hAnsi="Arial"/>
                <w:sz w:val="20"/>
                <w:szCs w:val="20"/>
              </w:rPr>
            </w:pPr>
          </w:p>
          <w:p w14:paraId="564D6759" w14:textId="38454F10" w:rsidR="00E044E9" w:rsidRDefault="00E044E9" w:rsidP="00E044E9">
            <w:pPr>
              <w:contextualSpacing/>
              <w:jc w:val="both"/>
              <w:rPr>
                <w:rFonts w:ascii="Arial" w:hAnsi="Arial"/>
                <w:sz w:val="20"/>
                <w:szCs w:val="20"/>
              </w:rPr>
            </w:pPr>
            <w:r>
              <w:rPr>
                <w:rFonts w:ascii="Arial" w:hAnsi="Arial"/>
                <w:sz w:val="20"/>
                <w:szCs w:val="20"/>
                <w:lang w:val="es-MX"/>
              </w:rPr>
              <w:t xml:space="preserve">El presente indicador, cumple con los criterios mínimos para asegurar la calidad y pertinencia de un indicador, dado que es simple, fácil de elaborar y medir. El indicador es específico, ya que es explícito respecto al objetivo que se desea medir, permitiendo verificar si el resultado se ha cumplido. Es medible, ya que puede ser cuantificable mediante la aplicación de la sintaxis y las fuentes de datos. Es apropiado, ya que a la fecha es el único indicador que mide la brecha de calidad del </w:t>
            </w:r>
            <w:r w:rsidRPr="00863D7D">
              <w:rPr>
                <w:rFonts w:ascii="Arial" w:hAnsi="Arial"/>
                <w:sz w:val="20"/>
                <w:szCs w:val="20"/>
                <w:lang w:val="es-MX"/>
              </w:rPr>
              <w:t>Servicio de Gestión Institucional en Educación Superior Universitaria</w:t>
            </w:r>
            <w:r>
              <w:rPr>
                <w:rFonts w:ascii="Arial" w:hAnsi="Arial"/>
                <w:sz w:val="20"/>
                <w:szCs w:val="20"/>
                <w:lang w:val="es-MX"/>
              </w:rPr>
              <w:t xml:space="preserve"> en el marco del SNPMGI. Es realista, ya que es posible medir el indicador con los recursos disponibles y la experiencia técnica de la entidad. Finalmente, el indicador es temporal, ya que dentro de la ficha se especifica la frecuencia o periodicidad de medición del indicador, la cual está sujeta a la disponibilidad de la información y a los objetivos del indicador.</w:t>
            </w:r>
          </w:p>
          <w:p w14:paraId="7D76E9E9" w14:textId="5CF90B53" w:rsidR="002C6B38" w:rsidRPr="00C30464" w:rsidRDefault="002C6B38" w:rsidP="002C6B38">
            <w:pPr>
              <w:rPr>
                <w:rFonts w:ascii="Arial" w:hAnsi="Arial" w:cs="Arial"/>
                <w:b/>
                <w:szCs w:val="20"/>
              </w:rPr>
            </w:pPr>
          </w:p>
        </w:tc>
      </w:tr>
      <w:tr w:rsidR="00C30464" w:rsidRPr="00C30464" w14:paraId="2915C75B" w14:textId="77777777" w:rsidTr="009F6EE7">
        <w:trPr>
          <w:trHeight w:val="241"/>
        </w:trPr>
        <w:tc>
          <w:tcPr>
            <w:tcW w:w="9500" w:type="dxa"/>
            <w:gridSpan w:val="7"/>
            <w:tcBorders>
              <w:top w:val="single" w:sz="4" w:space="0" w:color="auto"/>
              <w:left w:val="single" w:sz="4" w:space="0" w:color="auto"/>
              <w:right w:val="single" w:sz="4" w:space="0" w:color="auto"/>
            </w:tcBorders>
            <w:shd w:val="clear" w:color="auto" w:fill="auto"/>
            <w:vAlign w:val="center"/>
          </w:tcPr>
          <w:p w14:paraId="364C52EB" w14:textId="7FDE5134" w:rsidR="002C6B38" w:rsidRPr="00C30464" w:rsidRDefault="002C6B38" w:rsidP="002C6B38">
            <w:pPr>
              <w:rPr>
                <w:rFonts w:ascii="Arial" w:hAnsi="Arial" w:cs="Arial"/>
                <w:b/>
                <w:szCs w:val="20"/>
              </w:rPr>
            </w:pPr>
            <w:r w:rsidRPr="00C30464">
              <w:rPr>
                <w:rFonts w:ascii="Arial" w:hAnsi="Arial" w:cs="Arial"/>
                <w:b/>
                <w:szCs w:val="20"/>
              </w:rPr>
              <w:lastRenderedPageBreak/>
              <w:t>Método de Cálculo</w:t>
            </w:r>
          </w:p>
        </w:tc>
      </w:tr>
      <w:tr w:rsidR="00A62AC4" w:rsidRPr="002F1F3D" w14:paraId="4DEBCCAC" w14:textId="77777777" w:rsidTr="00B43C80">
        <w:trPr>
          <w:trHeight w:val="165"/>
        </w:trPr>
        <w:tc>
          <w:tcPr>
            <w:tcW w:w="9500" w:type="dxa"/>
            <w:gridSpan w:val="7"/>
            <w:tcBorders>
              <w:top w:val="single" w:sz="4" w:space="0" w:color="auto"/>
              <w:left w:val="single" w:sz="4" w:space="0" w:color="auto"/>
              <w:right w:val="single" w:sz="4" w:space="0" w:color="auto"/>
            </w:tcBorders>
            <w:vAlign w:val="center"/>
          </w:tcPr>
          <w:p w14:paraId="05B789DE" w14:textId="77777777" w:rsidR="00A62AC4" w:rsidRPr="00863D7D" w:rsidRDefault="00A62AC4" w:rsidP="002C6B38">
            <w:pPr>
              <w:rPr>
                <w:rFonts w:ascii="Arial" w:hAnsi="Arial" w:cs="Arial"/>
                <w:sz w:val="18"/>
                <w:szCs w:val="20"/>
                <w:lang w:val="en-US"/>
              </w:rPr>
            </w:pPr>
          </w:p>
          <w:p w14:paraId="5B346FB4" w14:textId="4A75B4E0" w:rsidR="00A62AC4" w:rsidRPr="00863D7D" w:rsidRDefault="00024907" w:rsidP="002C6B38">
            <w:pPr>
              <w:rPr>
                <w:rFonts w:ascii="Arial" w:eastAsiaTheme="minorEastAsia" w:hAnsi="Arial" w:cs="Arial"/>
                <w:lang w:val="en-US"/>
              </w:rPr>
            </w:pPr>
            <m:oMathPara>
              <m:oMath>
                <m:sSub>
                  <m:sSubPr>
                    <m:ctrlPr>
                      <w:rPr>
                        <w:rFonts w:ascii="Cambria Math" w:hAnsi="Cambria Math" w:cs="Arial"/>
                        <w:b/>
                        <w:bCs/>
                        <w:i/>
                      </w:rPr>
                    </m:ctrlPr>
                  </m:sSubPr>
                  <m:e>
                    <m:r>
                      <m:rPr>
                        <m:sty m:val="b"/>
                      </m:rPr>
                      <w:rPr>
                        <w:rFonts w:ascii="Cambria Math" w:hAnsi="Cambria Math" w:cs="Arial"/>
                        <w:lang w:val="en-US"/>
                      </w:rPr>
                      <m:t>CTIAC</m:t>
                    </m:r>
                  </m:e>
                  <m:sub>
                    <m:r>
                      <m:rPr>
                        <m:nor/>
                      </m:rPr>
                      <w:rPr>
                        <w:rFonts w:ascii="Arial" w:hAnsi="Arial" w:cs="Arial"/>
                        <w:b/>
                        <w:bCs/>
                        <w:lang w:val="fr-FR"/>
                      </w:rPr>
                      <m:t>t</m:t>
                    </m:r>
                  </m:sub>
                </m:sSub>
                <m:r>
                  <w:rPr>
                    <w:rStyle w:val="Refdenotaalpie"/>
                    <w:rFonts w:ascii="Cambria Math" w:hAnsi="Cambria Math"/>
                    <w:i/>
                  </w:rPr>
                  <w:footnoteReference w:id="1"/>
                </m:r>
                <m:r>
                  <m:rPr>
                    <m:sty m:val="b"/>
                  </m:rPr>
                  <w:rPr>
                    <w:rFonts w:ascii="Cambria Math" w:hAnsi="Cambria Math"/>
                    <w:lang w:val="en-US"/>
                  </w:rPr>
                  <m:t>=</m:t>
                </m:r>
                <m:r>
                  <m:rPr>
                    <m:sty m:val="b"/>
                  </m:rPr>
                  <w:rPr>
                    <w:rFonts w:ascii="Cambria Math" w:hAnsi="Cambria Math"/>
                  </w:rPr>
                  <m:t>IB</m:t>
                </m:r>
                <m:r>
                  <w:rPr>
                    <w:rStyle w:val="Refdenotaalpie"/>
                    <w:rFonts w:ascii="Cambria Math" w:hAnsi="Cambria Math"/>
                    <w:i/>
                  </w:rPr>
                  <w:footnoteReference w:id="2"/>
                </m:r>
                <m:r>
                  <w:rPr>
                    <w:rFonts w:ascii="Cambria Math" w:eastAsiaTheme="minorEastAsia" w:hAnsi="Cambria Math" w:cs="Arial"/>
                    <w:lang w:val="en-US"/>
                  </w:rPr>
                  <m:t>=</m:t>
                </m:r>
                <m:d>
                  <m:dPr>
                    <m:ctrlPr>
                      <w:rPr>
                        <w:rFonts w:ascii="Cambria Math" w:eastAsiaTheme="minorEastAsia" w:hAnsi="Cambria Math" w:cs="Arial"/>
                      </w:rPr>
                    </m:ctrlPr>
                  </m:dPr>
                  <m:e>
                    <m:r>
                      <w:rPr>
                        <w:rFonts w:ascii="Cambria Math" w:eastAsiaTheme="minorEastAsia" w:hAnsi="Cambria Math" w:cs="Arial"/>
                        <w:lang w:val="en-US"/>
                      </w:rPr>
                      <m:t>1-</m:t>
                    </m:r>
                    <m:f>
                      <m:fPr>
                        <m:ctrlPr>
                          <w:rPr>
                            <w:rFonts w:ascii="Cambria Math" w:eastAsiaTheme="minorEastAsia" w:hAnsi="Cambria Math" w:cs="Arial"/>
                          </w:rPr>
                        </m:ctrlPr>
                      </m:fPr>
                      <m:num>
                        <m:r>
                          <w:rPr>
                            <w:rFonts w:ascii="Cambria Math" w:eastAsiaTheme="minorEastAsia" w:hAnsi="Cambria Math" w:cs="Arial"/>
                          </w:rPr>
                          <m:t>Implementado</m:t>
                        </m:r>
                      </m:num>
                      <m:den>
                        <m:r>
                          <w:rPr>
                            <w:rFonts w:ascii="Cambria Math" w:eastAsiaTheme="minorEastAsia" w:hAnsi="Cambria Math" w:cs="Arial"/>
                          </w:rPr>
                          <m:t>Demandado</m:t>
                        </m:r>
                      </m:den>
                    </m:f>
                  </m:e>
                </m:d>
                <m:r>
                  <w:rPr>
                    <w:rFonts w:ascii="Cambria Math" w:eastAsiaTheme="minorEastAsia" w:hAnsi="Cambria Math" w:cs="Arial"/>
                    <w:lang w:val="en-US"/>
                  </w:rPr>
                  <m:t>×100 %=</m:t>
                </m:r>
              </m:oMath>
            </m:oMathPara>
          </w:p>
          <w:p w14:paraId="151B2875" w14:textId="739DB60E" w:rsidR="00A62AC4" w:rsidRPr="00863D7D" w:rsidRDefault="00A62AC4" w:rsidP="002C6B38">
            <w:pPr>
              <w:rPr>
                <w:rFonts w:ascii="Arial" w:eastAsiaTheme="minorEastAsia" w:hAnsi="Arial" w:cs="Arial"/>
                <w:sz w:val="18"/>
                <w:szCs w:val="20"/>
                <w:lang w:val="en-US"/>
              </w:rPr>
            </w:pPr>
          </w:p>
        </w:tc>
      </w:tr>
      <w:tr w:rsidR="00C30464" w:rsidRPr="00C30464" w14:paraId="6B5C1D44" w14:textId="29EA102C" w:rsidTr="00966297">
        <w:trPr>
          <w:trHeight w:val="255"/>
        </w:trPr>
        <w:tc>
          <w:tcPr>
            <w:tcW w:w="3444" w:type="dxa"/>
            <w:tcBorders>
              <w:left w:val="single" w:sz="4" w:space="0" w:color="auto"/>
            </w:tcBorders>
            <w:vAlign w:val="center"/>
          </w:tcPr>
          <w:p w14:paraId="07716DD5" w14:textId="2BD341FA" w:rsidR="002C6B38" w:rsidRPr="00C30464" w:rsidRDefault="002C6B38" w:rsidP="002C6B38">
            <w:pPr>
              <w:rPr>
                <w:rFonts w:ascii="Arial" w:hAnsi="Arial" w:cs="Arial"/>
                <w:sz w:val="18"/>
                <w:szCs w:val="20"/>
              </w:rPr>
            </w:pPr>
            <w:r w:rsidRPr="00C30464">
              <w:rPr>
                <w:rFonts w:ascii="Arial" w:hAnsi="Arial" w:cs="Arial"/>
                <w:sz w:val="18"/>
                <w:szCs w:val="20"/>
              </w:rPr>
              <w:t>Donde:</w:t>
            </w:r>
          </w:p>
        </w:tc>
        <w:tc>
          <w:tcPr>
            <w:tcW w:w="698" w:type="dxa"/>
            <w:vAlign w:val="center"/>
          </w:tcPr>
          <w:p w14:paraId="258F2A4B" w14:textId="7B8B66DF" w:rsidR="002C6B38" w:rsidRPr="00C30464" w:rsidRDefault="002C6B38" w:rsidP="002C6B38">
            <w:pPr>
              <w:rPr>
                <w:rFonts w:ascii="Arial" w:hAnsi="Arial" w:cs="Arial"/>
                <w:sz w:val="18"/>
                <w:szCs w:val="20"/>
              </w:rPr>
            </w:pPr>
          </w:p>
        </w:tc>
        <w:tc>
          <w:tcPr>
            <w:tcW w:w="693" w:type="dxa"/>
            <w:tcBorders>
              <w:bottom w:val="single" w:sz="4" w:space="0" w:color="auto"/>
            </w:tcBorders>
            <w:vAlign w:val="center"/>
          </w:tcPr>
          <w:p w14:paraId="005655A5" w14:textId="29F8B727" w:rsidR="002C6B38" w:rsidRPr="00C30464" w:rsidRDefault="002C6B38" w:rsidP="002C6B38">
            <w:pPr>
              <w:rPr>
                <w:rFonts w:ascii="Arial" w:hAnsi="Arial" w:cs="Arial"/>
                <w:sz w:val="18"/>
                <w:szCs w:val="20"/>
              </w:rPr>
            </w:pPr>
          </w:p>
        </w:tc>
        <w:tc>
          <w:tcPr>
            <w:tcW w:w="2071" w:type="dxa"/>
            <w:tcBorders>
              <w:bottom w:val="single" w:sz="4" w:space="0" w:color="auto"/>
            </w:tcBorders>
            <w:vAlign w:val="center"/>
          </w:tcPr>
          <w:p w14:paraId="6E28B62D" w14:textId="28EA42F0" w:rsidR="002C6B38" w:rsidRPr="00C30464" w:rsidRDefault="002C6B38" w:rsidP="002C6B38">
            <w:pPr>
              <w:rPr>
                <w:rFonts w:ascii="Arial" w:hAnsi="Arial" w:cs="Arial"/>
                <w:sz w:val="18"/>
                <w:szCs w:val="20"/>
              </w:rPr>
            </w:pPr>
          </w:p>
        </w:tc>
        <w:tc>
          <w:tcPr>
            <w:tcW w:w="1102" w:type="dxa"/>
            <w:tcBorders>
              <w:bottom w:val="single" w:sz="4" w:space="0" w:color="auto"/>
            </w:tcBorders>
            <w:vAlign w:val="center"/>
          </w:tcPr>
          <w:p w14:paraId="33ABBBFE" w14:textId="1A28FFC9" w:rsidR="002C6B38" w:rsidRPr="00C30464" w:rsidRDefault="002C6B38" w:rsidP="002C6B38">
            <w:pPr>
              <w:rPr>
                <w:rFonts w:ascii="Arial" w:hAnsi="Arial" w:cs="Arial"/>
                <w:sz w:val="18"/>
                <w:szCs w:val="20"/>
              </w:rPr>
            </w:pPr>
          </w:p>
        </w:tc>
        <w:tc>
          <w:tcPr>
            <w:tcW w:w="800" w:type="dxa"/>
            <w:tcBorders>
              <w:bottom w:val="single" w:sz="4" w:space="0" w:color="auto"/>
            </w:tcBorders>
            <w:vAlign w:val="center"/>
          </w:tcPr>
          <w:p w14:paraId="11774132" w14:textId="059C72D4" w:rsidR="002C6B38" w:rsidRPr="00C30464" w:rsidRDefault="002C6B38" w:rsidP="002C6B38">
            <w:pPr>
              <w:rPr>
                <w:rFonts w:ascii="Arial" w:hAnsi="Arial" w:cs="Arial"/>
                <w:sz w:val="18"/>
                <w:szCs w:val="20"/>
              </w:rPr>
            </w:pPr>
          </w:p>
        </w:tc>
        <w:tc>
          <w:tcPr>
            <w:tcW w:w="692" w:type="dxa"/>
            <w:tcBorders>
              <w:right w:val="single" w:sz="4" w:space="0" w:color="auto"/>
            </w:tcBorders>
            <w:vAlign w:val="center"/>
          </w:tcPr>
          <w:p w14:paraId="137B2CC6" w14:textId="2CBCDC39" w:rsidR="002C6B38" w:rsidRPr="00C30464" w:rsidRDefault="002C6B38" w:rsidP="002C6B38">
            <w:pPr>
              <w:rPr>
                <w:rFonts w:ascii="Arial" w:hAnsi="Arial" w:cs="Arial"/>
                <w:sz w:val="18"/>
                <w:szCs w:val="20"/>
              </w:rPr>
            </w:pPr>
          </w:p>
        </w:tc>
      </w:tr>
      <w:tr w:rsidR="00C30464" w:rsidRPr="00C30464" w14:paraId="47FDDA09" w14:textId="0C401BB7" w:rsidTr="001D5D9B">
        <w:trPr>
          <w:trHeight w:val="568"/>
        </w:trPr>
        <w:tc>
          <w:tcPr>
            <w:tcW w:w="3444" w:type="dxa"/>
            <w:tcBorders>
              <w:left w:val="single" w:sz="4" w:space="0" w:color="auto"/>
            </w:tcBorders>
            <w:vAlign w:val="center"/>
          </w:tcPr>
          <w:p w14:paraId="4BF3D8E8" w14:textId="5898ED1E" w:rsidR="002C6B38" w:rsidRPr="00C30464" w:rsidRDefault="002C6B38" w:rsidP="002C6B38">
            <w:pPr>
              <w:jc w:val="right"/>
              <w:rPr>
                <w:rFonts w:ascii="Arial" w:hAnsi="Arial" w:cs="Arial"/>
                <w:sz w:val="18"/>
                <w:szCs w:val="20"/>
              </w:rPr>
            </w:pPr>
            <w:r w:rsidRPr="00C30464">
              <w:rPr>
                <w:rFonts w:ascii="Arial" w:hAnsi="Arial" w:cs="Arial"/>
                <w:sz w:val="18"/>
                <w:szCs w:val="20"/>
              </w:rPr>
              <w:t>Demandado</w:t>
            </w:r>
          </w:p>
        </w:tc>
        <w:tc>
          <w:tcPr>
            <w:tcW w:w="698" w:type="dxa"/>
            <w:tcBorders>
              <w:right w:val="single" w:sz="4" w:space="0" w:color="auto"/>
            </w:tcBorders>
            <w:vAlign w:val="center"/>
          </w:tcPr>
          <w:p w14:paraId="64D52C72" w14:textId="78168610" w:rsidR="002C6B38" w:rsidRPr="00C30464" w:rsidRDefault="002C6B38" w:rsidP="002C6B38">
            <w:pPr>
              <w:jc w:val="center"/>
              <w:rPr>
                <w:rFonts w:ascii="Arial" w:hAnsi="Arial" w:cs="Arial"/>
                <w:sz w:val="18"/>
                <w:szCs w:val="20"/>
              </w:rPr>
            </w:pPr>
            <w:r w:rsidRPr="00C30464">
              <w:rPr>
                <w:rFonts w:ascii="Arial" w:hAnsi="Arial" w:cs="Arial"/>
                <w:sz w:val="18"/>
                <w:szCs w:val="20"/>
              </w:rPr>
              <w:t>=</w:t>
            </w:r>
          </w:p>
        </w:tc>
        <w:tc>
          <w:tcPr>
            <w:tcW w:w="4666" w:type="dxa"/>
            <w:gridSpan w:val="4"/>
            <w:tcBorders>
              <w:top w:val="single" w:sz="4" w:space="0" w:color="auto"/>
              <w:left w:val="single" w:sz="4" w:space="0" w:color="auto"/>
              <w:bottom w:val="single" w:sz="4" w:space="0" w:color="auto"/>
              <w:right w:val="single" w:sz="4" w:space="0" w:color="auto"/>
            </w:tcBorders>
            <w:vAlign w:val="center"/>
          </w:tcPr>
          <w:p w14:paraId="63C7C1CB" w14:textId="42ADB3E3" w:rsidR="002C6B38" w:rsidRPr="00C30464" w:rsidRDefault="001904EF" w:rsidP="002C6B38">
            <w:pPr>
              <w:rPr>
                <w:rFonts w:ascii="Arial" w:hAnsi="Arial" w:cs="Arial"/>
                <w:sz w:val="18"/>
                <w:szCs w:val="20"/>
              </w:rPr>
            </w:pPr>
            <m:oMath>
              <m:r>
                <m:rPr>
                  <m:sty m:val="bi"/>
                </m:rPr>
                <w:rPr>
                  <w:rFonts w:ascii="Cambria Math" w:hAnsi="Cambria Math"/>
                  <w:sz w:val="24"/>
                  <w:szCs w:val="24"/>
                </w:rPr>
                <m:t>CT</m:t>
              </m:r>
              <m:sSub>
                <m:sSubPr>
                  <m:ctrlPr>
                    <w:rPr>
                      <w:rFonts w:ascii="Cambria Math" w:hAnsi="Cambria Math"/>
                      <w:b/>
                      <w:bCs/>
                      <w:i/>
                      <w:sz w:val="24"/>
                      <w:szCs w:val="24"/>
                    </w:rPr>
                  </m:ctrlPr>
                </m:sSubPr>
                <m:e>
                  <m:r>
                    <m:rPr>
                      <m:sty m:val="bi"/>
                    </m:rPr>
                    <w:rPr>
                      <w:rFonts w:ascii="Cambria Math" w:hAnsi="Cambria Math"/>
                      <w:sz w:val="24"/>
                      <w:szCs w:val="24"/>
                    </w:rPr>
                    <m:t>IAC</m:t>
                  </m:r>
                </m:e>
                <m:sub>
                  <m:r>
                    <m:rPr>
                      <m:sty m:val="bi"/>
                    </m:rPr>
                    <w:rPr>
                      <w:rFonts w:ascii="Cambria Math" w:hAnsi="Cambria Math"/>
                      <w:sz w:val="24"/>
                      <w:szCs w:val="24"/>
                    </w:rPr>
                    <m:t>t</m:t>
                  </m:r>
                </m:sub>
              </m:sSub>
            </m:oMath>
            <w:r w:rsidR="00E044E9">
              <w:rPr>
                <w:rFonts w:ascii="Arial" w:eastAsiaTheme="minorEastAsia" w:hAnsi="Arial" w:cs="Arial"/>
                <w:sz w:val="24"/>
                <w:szCs w:val="24"/>
              </w:rPr>
              <w:t xml:space="preserve">: </w:t>
            </w:r>
            <w:r w:rsidR="00E044E9">
              <w:rPr>
                <w:rFonts w:ascii="Arial" w:hAnsi="Arial"/>
                <w:sz w:val="20"/>
                <w:szCs w:val="20"/>
              </w:rPr>
              <w:t>Cantidad total de instalaciones de la administración central</w:t>
            </w:r>
            <w:r w:rsidR="00E044E9" w:rsidRPr="00BD01E6">
              <w:rPr>
                <w:rFonts w:ascii="Arial" w:hAnsi="Arial"/>
                <w:sz w:val="20"/>
                <w:szCs w:val="20"/>
              </w:rPr>
              <w:t xml:space="preserve"> </w:t>
            </w:r>
            <w:r w:rsidR="00E044E9">
              <w:rPr>
                <w:rFonts w:ascii="Arial" w:hAnsi="Arial"/>
                <w:sz w:val="20"/>
                <w:szCs w:val="20"/>
              </w:rPr>
              <w:t xml:space="preserve">de las universidades públicas que brindan el </w:t>
            </w:r>
            <w:r w:rsidR="00E044E9" w:rsidRPr="00BD01E6">
              <w:rPr>
                <w:rFonts w:ascii="Arial" w:hAnsi="Arial"/>
                <w:sz w:val="20"/>
                <w:szCs w:val="20"/>
              </w:rPr>
              <w:t>Servicio</w:t>
            </w:r>
            <w:r w:rsidR="00E044E9" w:rsidRPr="00BD01E6">
              <w:rPr>
                <w:rFonts w:ascii="Arial" w:hAnsi="Arial"/>
                <w:bCs/>
                <w:sz w:val="20"/>
                <w:szCs w:val="20"/>
              </w:rPr>
              <w:t xml:space="preserve"> de Gestión Institucional </w:t>
            </w:r>
            <w:r w:rsidR="00E044E9">
              <w:rPr>
                <w:rFonts w:ascii="Arial" w:hAnsi="Arial"/>
                <w:bCs/>
                <w:sz w:val="20"/>
                <w:szCs w:val="20"/>
              </w:rPr>
              <w:t>en la Educación Superior Universitaria</w:t>
            </w:r>
            <w:r w:rsidR="00E044E9" w:rsidRPr="00BD01E6">
              <w:rPr>
                <w:rFonts w:ascii="Arial" w:hAnsi="Arial"/>
                <w:bCs/>
                <w:sz w:val="20"/>
                <w:szCs w:val="20"/>
              </w:rPr>
              <w:t xml:space="preserve"> </w:t>
            </w:r>
            <w:r w:rsidR="00E044E9" w:rsidRPr="00BD01E6">
              <w:rPr>
                <w:rFonts w:ascii="Arial" w:hAnsi="Arial"/>
                <w:sz w:val="20"/>
                <w:szCs w:val="20"/>
              </w:rPr>
              <w:t>en el tiempo t.</w:t>
            </w:r>
          </w:p>
        </w:tc>
        <w:tc>
          <w:tcPr>
            <w:tcW w:w="692" w:type="dxa"/>
            <w:tcBorders>
              <w:left w:val="single" w:sz="4" w:space="0" w:color="auto"/>
              <w:right w:val="single" w:sz="4" w:space="0" w:color="auto"/>
            </w:tcBorders>
            <w:vAlign w:val="center"/>
          </w:tcPr>
          <w:p w14:paraId="1273E212" w14:textId="77777777" w:rsidR="002C6B38" w:rsidRPr="00C30464" w:rsidRDefault="002C6B38" w:rsidP="002C6B38">
            <w:pPr>
              <w:rPr>
                <w:rFonts w:ascii="Arial" w:hAnsi="Arial" w:cs="Arial"/>
                <w:sz w:val="18"/>
                <w:szCs w:val="20"/>
              </w:rPr>
            </w:pPr>
          </w:p>
        </w:tc>
      </w:tr>
      <w:tr w:rsidR="00C30464" w:rsidRPr="00C30464" w14:paraId="39D30842" w14:textId="092753BF" w:rsidTr="00791B39">
        <w:trPr>
          <w:trHeight w:val="160"/>
        </w:trPr>
        <w:tc>
          <w:tcPr>
            <w:tcW w:w="9500" w:type="dxa"/>
            <w:gridSpan w:val="7"/>
            <w:tcBorders>
              <w:left w:val="single" w:sz="4" w:space="0" w:color="auto"/>
              <w:right w:val="single" w:sz="4" w:space="0" w:color="auto"/>
            </w:tcBorders>
            <w:vAlign w:val="center"/>
          </w:tcPr>
          <w:p w14:paraId="44C48A46" w14:textId="77777777" w:rsidR="002C6B38" w:rsidRPr="00C30464" w:rsidRDefault="002C6B38" w:rsidP="002C6B38">
            <w:pPr>
              <w:rPr>
                <w:rFonts w:ascii="Arial" w:hAnsi="Arial" w:cs="Arial"/>
                <w:sz w:val="18"/>
                <w:szCs w:val="20"/>
              </w:rPr>
            </w:pPr>
          </w:p>
        </w:tc>
      </w:tr>
      <w:tr w:rsidR="00C30464" w:rsidRPr="00C30464" w14:paraId="0444C1B3" w14:textId="146F9E5D" w:rsidTr="002C6B38">
        <w:trPr>
          <w:trHeight w:val="593"/>
        </w:trPr>
        <w:tc>
          <w:tcPr>
            <w:tcW w:w="3444" w:type="dxa"/>
            <w:tcBorders>
              <w:left w:val="single" w:sz="4" w:space="0" w:color="auto"/>
              <w:bottom w:val="single" w:sz="4" w:space="0" w:color="auto"/>
            </w:tcBorders>
            <w:vAlign w:val="center"/>
          </w:tcPr>
          <w:p w14:paraId="18557181" w14:textId="13D83BCE" w:rsidR="002C6B38" w:rsidRPr="00C30464" w:rsidRDefault="002C6B38" w:rsidP="002C6B38">
            <w:pPr>
              <w:jc w:val="right"/>
              <w:rPr>
                <w:rFonts w:ascii="Arial" w:hAnsi="Arial" w:cs="Arial"/>
                <w:sz w:val="18"/>
                <w:szCs w:val="20"/>
              </w:rPr>
            </w:pPr>
            <w:r w:rsidRPr="00C30464">
              <w:rPr>
                <w:rFonts w:ascii="Arial" w:hAnsi="Arial" w:cs="Arial"/>
                <w:sz w:val="18"/>
                <w:szCs w:val="20"/>
              </w:rPr>
              <w:t>Implementa</w:t>
            </w:r>
            <w:r w:rsidR="00E243BC">
              <w:rPr>
                <w:rFonts w:ascii="Arial" w:hAnsi="Arial" w:cs="Arial"/>
                <w:sz w:val="18"/>
                <w:szCs w:val="20"/>
              </w:rPr>
              <w:t>do</w:t>
            </w:r>
          </w:p>
        </w:tc>
        <w:tc>
          <w:tcPr>
            <w:tcW w:w="698" w:type="dxa"/>
            <w:tcBorders>
              <w:bottom w:val="single" w:sz="4" w:space="0" w:color="auto"/>
              <w:right w:val="single" w:sz="4" w:space="0" w:color="auto"/>
            </w:tcBorders>
            <w:vAlign w:val="center"/>
          </w:tcPr>
          <w:p w14:paraId="20F01258" w14:textId="1321F9DE" w:rsidR="002C6B38" w:rsidRPr="00C30464" w:rsidRDefault="002C6B38" w:rsidP="002C6B38">
            <w:pPr>
              <w:jc w:val="center"/>
              <w:rPr>
                <w:rFonts w:ascii="Arial" w:hAnsi="Arial" w:cs="Arial"/>
                <w:sz w:val="18"/>
                <w:szCs w:val="20"/>
              </w:rPr>
            </w:pPr>
            <w:r w:rsidRPr="00C30464">
              <w:rPr>
                <w:rFonts w:ascii="Arial" w:hAnsi="Arial" w:cs="Arial"/>
                <w:sz w:val="18"/>
                <w:szCs w:val="20"/>
              </w:rPr>
              <w:t>=</w:t>
            </w:r>
          </w:p>
        </w:tc>
        <w:tc>
          <w:tcPr>
            <w:tcW w:w="4666" w:type="dxa"/>
            <w:gridSpan w:val="4"/>
            <w:tcBorders>
              <w:top w:val="single" w:sz="4" w:space="0" w:color="auto"/>
              <w:left w:val="single" w:sz="4" w:space="0" w:color="auto"/>
              <w:bottom w:val="single" w:sz="4" w:space="0" w:color="auto"/>
              <w:right w:val="single" w:sz="4" w:space="0" w:color="auto"/>
            </w:tcBorders>
            <w:vAlign w:val="center"/>
          </w:tcPr>
          <w:p w14:paraId="3752E493" w14:textId="697B0C8C" w:rsidR="002C6B38" w:rsidRPr="00C30464" w:rsidRDefault="00024907" w:rsidP="002C6B38">
            <w:pPr>
              <w:rPr>
                <w:rFonts w:ascii="Arial" w:hAnsi="Arial" w:cs="Arial"/>
                <w:sz w:val="18"/>
                <w:szCs w:val="20"/>
              </w:rPr>
            </w:pPr>
            <m:oMath>
              <m:sSub>
                <m:sSubPr>
                  <m:ctrlPr>
                    <w:rPr>
                      <w:rFonts w:ascii="Cambria Math" w:hAnsi="Cambria Math"/>
                      <w:b/>
                      <w:bCs/>
                      <w:i/>
                      <w:sz w:val="24"/>
                      <w:szCs w:val="24"/>
                    </w:rPr>
                  </m:ctrlPr>
                </m:sSubPr>
                <m:e>
                  <m:r>
                    <m:rPr>
                      <m:sty m:val="bi"/>
                    </m:rPr>
                    <w:rPr>
                      <w:rFonts w:ascii="Cambria Math" w:hAnsi="Cambria Math"/>
                      <w:sz w:val="24"/>
                      <w:szCs w:val="24"/>
                    </w:rPr>
                    <m:t>CTIACA</m:t>
                  </m:r>
                </m:e>
                <m:sub>
                  <m:r>
                    <m:rPr>
                      <m:sty m:val="bi"/>
                    </m:rPr>
                    <w:rPr>
                      <w:rFonts w:ascii="Cambria Math" w:hAnsi="Cambria Math"/>
                      <w:sz w:val="24"/>
                      <w:szCs w:val="24"/>
                    </w:rPr>
                    <m:t>t</m:t>
                  </m:r>
                </m:sub>
              </m:sSub>
            </m:oMath>
            <w:r w:rsidR="00E044E9">
              <w:rPr>
                <w:rFonts w:ascii="Arial" w:eastAsiaTheme="minorEastAsia" w:hAnsi="Arial" w:cs="Arial"/>
                <w:sz w:val="24"/>
                <w:szCs w:val="24"/>
              </w:rPr>
              <w:t xml:space="preserve">: </w:t>
            </w:r>
            <w:r w:rsidR="00E044E9">
              <w:rPr>
                <w:rFonts w:ascii="Arial" w:hAnsi="Arial"/>
                <w:sz w:val="20"/>
                <w:szCs w:val="20"/>
              </w:rPr>
              <w:t>Cantidad total de instalaciones de la administración central</w:t>
            </w:r>
            <w:r w:rsidR="00E044E9" w:rsidRPr="00BD01E6">
              <w:rPr>
                <w:rFonts w:ascii="Arial" w:hAnsi="Arial"/>
                <w:sz w:val="20"/>
                <w:szCs w:val="20"/>
              </w:rPr>
              <w:t xml:space="preserve"> </w:t>
            </w:r>
            <w:r w:rsidR="00E044E9">
              <w:rPr>
                <w:rFonts w:ascii="Arial" w:hAnsi="Arial"/>
                <w:sz w:val="20"/>
                <w:szCs w:val="20"/>
              </w:rPr>
              <w:t xml:space="preserve">de las universidades públicas que brindan el </w:t>
            </w:r>
            <w:r w:rsidR="00E044E9" w:rsidRPr="00BD01E6">
              <w:rPr>
                <w:rFonts w:ascii="Arial" w:hAnsi="Arial"/>
                <w:sz w:val="20"/>
                <w:szCs w:val="20"/>
              </w:rPr>
              <w:t>Servicio</w:t>
            </w:r>
            <w:r w:rsidR="00E044E9" w:rsidRPr="00BD01E6">
              <w:rPr>
                <w:rFonts w:ascii="Arial" w:hAnsi="Arial"/>
                <w:bCs/>
                <w:sz w:val="20"/>
                <w:szCs w:val="20"/>
              </w:rPr>
              <w:t xml:space="preserve"> de Gestión Institucional </w:t>
            </w:r>
            <w:r w:rsidR="00E044E9">
              <w:rPr>
                <w:rFonts w:ascii="Arial" w:hAnsi="Arial"/>
                <w:bCs/>
                <w:sz w:val="20"/>
                <w:szCs w:val="20"/>
              </w:rPr>
              <w:t>en la Educación Superior Universitaria</w:t>
            </w:r>
            <w:r w:rsidR="00E044E9" w:rsidRPr="00BD01E6">
              <w:rPr>
                <w:rFonts w:ascii="Arial" w:hAnsi="Arial"/>
                <w:bCs/>
                <w:sz w:val="20"/>
                <w:szCs w:val="20"/>
              </w:rPr>
              <w:t xml:space="preserve"> </w:t>
            </w:r>
            <w:r w:rsidR="00E044E9">
              <w:rPr>
                <w:rFonts w:ascii="Arial" w:hAnsi="Arial"/>
                <w:bCs/>
                <w:sz w:val="20"/>
                <w:szCs w:val="20"/>
              </w:rPr>
              <w:t xml:space="preserve">en estado situacional adecuado </w:t>
            </w:r>
            <w:r w:rsidR="00E044E9" w:rsidRPr="00BD01E6">
              <w:rPr>
                <w:rFonts w:ascii="Arial" w:hAnsi="Arial"/>
                <w:sz w:val="20"/>
                <w:szCs w:val="20"/>
              </w:rPr>
              <w:t>en el tiempo t.</w:t>
            </w:r>
          </w:p>
        </w:tc>
        <w:tc>
          <w:tcPr>
            <w:tcW w:w="692" w:type="dxa"/>
            <w:tcBorders>
              <w:left w:val="single" w:sz="4" w:space="0" w:color="auto"/>
              <w:bottom w:val="single" w:sz="4" w:space="0" w:color="auto"/>
              <w:right w:val="single" w:sz="4" w:space="0" w:color="auto"/>
            </w:tcBorders>
            <w:vAlign w:val="center"/>
          </w:tcPr>
          <w:p w14:paraId="21ACDE04" w14:textId="77777777" w:rsidR="002C6B38" w:rsidRPr="00C30464" w:rsidRDefault="002C6B38" w:rsidP="002C6B38">
            <w:pPr>
              <w:rPr>
                <w:rFonts w:ascii="Arial" w:hAnsi="Arial" w:cs="Arial"/>
                <w:sz w:val="18"/>
                <w:szCs w:val="20"/>
              </w:rPr>
            </w:pPr>
          </w:p>
          <w:p w14:paraId="7FCDFD31" w14:textId="77777777" w:rsidR="00246044" w:rsidRPr="00C30464" w:rsidRDefault="00246044" w:rsidP="002C6B38">
            <w:pPr>
              <w:rPr>
                <w:rFonts w:ascii="Arial" w:hAnsi="Arial" w:cs="Arial"/>
                <w:sz w:val="18"/>
                <w:szCs w:val="20"/>
              </w:rPr>
            </w:pPr>
          </w:p>
          <w:p w14:paraId="191B0FC8" w14:textId="77777777" w:rsidR="00246044" w:rsidRPr="00C30464" w:rsidRDefault="00246044" w:rsidP="002C6B38">
            <w:pPr>
              <w:rPr>
                <w:rFonts w:ascii="Arial" w:hAnsi="Arial" w:cs="Arial"/>
                <w:sz w:val="18"/>
                <w:szCs w:val="20"/>
              </w:rPr>
            </w:pPr>
          </w:p>
        </w:tc>
      </w:tr>
      <w:tr w:rsidR="00BD01E6" w:rsidRPr="00BD01E6" w14:paraId="3EB2CE05"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23F8FA89" w14:textId="77777777" w:rsidR="00151ABA" w:rsidRDefault="00151ABA" w:rsidP="00C30464">
            <w:pPr>
              <w:spacing w:before="240" w:after="120"/>
              <w:contextualSpacing/>
              <w:jc w:val="both"/>
              <w:rPr>
                <w:rFonts w:ascii="Arial" w:hAnsi="Arial"/>
                <w:sz w:val="20"/>
                <w:szCs w:val="20"/>
              </w:rPr>
            </w:pPr>
          </w:p>
          <w:p w14:paraId="5DC8D8F7" w14:textId="4ACC8AE3" w:rsidR="00C30464" w:rsidRPr="00BD01E6" w:rsidRDefault="00C30464" w:rsidP="00C30464">
            <w:pPr>
              <w:spacing w:before="240" w:after="120"/>
              <w:contextualSpacing/>
              <w:jc w:val="both"/>
              <w:rPr>
                <w:rFonts w:ascii="Arial" w:hAnsi="Arial"/>
                <w:sz w:val="20"/>
                <w:szCs w:val="20"/>
              </w:rPr>
            </w:pPr>
            <w:r w:rsidRPr="00BD01E6">
              <w:rPr>
                <w:rFonts w:ascii="Arial" w:hAnsi="Arial"/>
                <w:sz w:val="20"/>
                <w:szCs w:val="20"/>
              </w:rPr>
              <w:t>Para efectos de cálculo el indicador, este será medido de la siguiente forma:</w:t>
            </w:r>
          </w:p>
          <w:p w14:paraId="7D3853B1" w14:textId="77777777" w:rsidR="00C30464" w:rsidRPr="00BD01E6" w:rsidRDefault="00C30464" w:rsidP="00C30464">
            <w:pPr>
              <w:spacing w:before="240" w:after="120"/>
              <w:contextualSpacing/>
              <w:jc w:val="both"/>
              <w:rPr>
                <w:rFonts w:ascii="Arial" w:hAnsi="Arial"/>
                <w:sz w:val="20"/>
                <w:szCs w:val="20"/>
              </w:rPr>
            </w:pPr>
          </w:p>
          <w:p w14:paraId="74EFB6F1" w14:textId="1A63B4A6" w:rsidR="00C30464" w:rsidRPr="00BD01E6" w:rsidRDefault="00024907" w:rsidP="00C30464">
            <w:pPr>
              <w:spacing w:before="240" w:after="120"/>
              <w:contextualSpacing/>
              <w:jc w:val="both"/>
              <w:rPr>
                <w:rFonts w:ascii="Cambria Math" w:hAnsi="Cambria Math"/>
                <w:i/>
                <w:sz w:val="20"/>
                <w:szCs w:val="20"/>
                <w:lang w:val="en-US"/>
              </w:rPr>
            </w:pPr>
            <m:oMathPara>
              <m:oMath>
                <m:sSub>
                  <m:sSubPr>
                    <m:ctrlPr>
                      <w:rPr>
                        <w:rFonts w:ascii="Cambria Math" w:hAnsi="Cambria Math"/>
                        <w:i/>
                        <w:sz w:val="24"/>
                        <w:szCs w:val="24"/>
                      </w:rPr>
                    </m:ctrlPr>
                  </m:sSubPr>
                  <m:e>
                    <m:r>
                      <m:rPr>
                        <m:sty m:val="bi"/>
                      </m:rPr>
                      <w:rPr>
                        <w:rFonts w:ascii="Cambria Math" w:hAnsi="Cambria Math"/>
                        <w:sz w:val="24"/>
                        <w:szCs w:val="24"/>
                      </w:rPr>
                      <m:t>CTIAC</m:t>
                    </m:r>
                  </m:e>
                  <m:sub>
                    <m:r>
                      <m:rPr>
                        <m:nor/>
                      </m:rPr>
                      <w:rPr>
                        <w:rFonts w:ascii="Cambria Math" w:hAnsi="Cambria Math"/>
                        <w:i/>
                        <w:sz w:val="24"/>
                        <w:szCs w:val="24"/>
                        <w:lang w:val="en-US"/>
                      </w:rPr>
                      <m:t>t</m:t>
                    </m:r>
                  </m:sub>
                </m:sSub>
                <m:r>
                  <w:rPr>
                    <w:rFonts w:ascii="Cambria Math" w:hAnsi="Cambria Math"/>
                    <w:sz w:val="24"/>
                    <w:szCs w:val="24"/>
                    <w:lang w:val="en-US"/>
                  </w:rPr>
                  <m:t>=</m:t>
                </m:r>
                <m:d>
                  <m:dPr>
                    <m:ctrlPr>
                      <w:rPr>
                        <w:rFonts w:ascii="Cambria Math" w:hAnsi="Cambria Math"/>
                        <w:i/>
                        <w:sz w:val="24"/>
                        <w:szCs w:val="24"/>
                        <w:lang w:val="en-US"/>
                      </w:rPr>
                    </m:ctrlPr>
                  </m:dPr>
                  <m:e>
                    <m:r>
                      <w:rPr>
                        <w:rFonts w:ascii="Cambria Math" w:hAnsi="Cambria Math"/>
                        <w:sz w:val="24"/>
                        <w:szCs w:val="24"/>
                        <w:lang w:val="en-US"/>
                      </w:rPr>
                      <m:t xml:space="preserve">1-  </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CTIACA</m:t>
                            </m:r>
                          </m:e>
                          <m:sub>
                            <m:r>
                              <w:rPr>
                                <w:rFonts w:ascii="Cambria Math" w:hAnsi="Cambria Math"/>
                                <w:sz w:val="24"/>
                                <w:szCs w:val="24"/>
                              </w:rPr>
                              <m:t>t</m:t>
                            </m:r>
                          </m:sub>
                        </m:sSub>
                      </m:num>
                      <m:den>
                        <m:sSub>
                          <m:sSubPr>
                            <m:ctrlPr>
                              <w:rPr>
                                <w:rFonts w:ascii="Cambria Math" w:hAnsi="Cambria Math"/>
                                <w:i/>
                                <w:sz w:val="24"/>
                                <w:szCs w:val="24"/>
                              </w:rPr>
                            </m:ctrlPr>
                          </m:sSubPr>
                          <m:e>
                            <m:r>
                              <w:rPr>
                                <w:rFonts w:ascii="Cambria Math" w:hAnsi="Cambria Math"/>
                                <w:sz w:val="24"/>
                                <w:szCs w:val="24"/>
                              </w:rPr>
                              <m:t>CTIAC</m:t>
                            </m:r>
                          </m:e>
                          <m:sub>
                            <m:r>
                              <w:rPr>
                                <w:rFonts w:ascii="Cambria Math" w:hAnsi="Cambria Math"/>
                                <w:sz w:val="24"/>
                                <w:szCs w:val="24"/>
                              </w:rPr>
                              <m:t>t</m:t>
                            </m:r>
                          </m:sub>
                        </m:sSub>
                      </m:den>
                    </m:f>
                    <m:ctrlPr>
                      <w:rPr>
                        <w:rFonts w:ascii="Cambria Math" w:hAnsi="Cambria Math"/>
                        <w:i/>
                        <w:sz w:val="24"/>
                        <w:szCs w:val="24"/>
                      </w:rPr>
                    </m:ctrlPr>
                  </m:e>
                </m:d>
                <m:r>
                  <w:rPr>
                    <w:rFonts w:ascii="Cambria Math" w:eastAsiaTheme="minorEastAsia" w:hAnsi="Cambria Math" w:cs="Arial"/>
                    <w:lang w:val="en-US"/>
                  </w:rPr>
                  <m:t>×</m:t>
                </m:r>
                <m:r>
                  <w:rPr>
                    <w:rFonts w:ascii="Cambria Math" w:hAnsi="Cambria Math"/>
                    <w:sz w:val="24"/>
                    <w:szCs w:val="24"/>
                    <w:lang w:val="en-US"/>
                  </w:rPr>
                  <m:t>100%</m:t>
                </m:r>
              </m:oMath>
            </m:oMathPara>
          </w:p>
          <w:p w14:paraId="2B4A2F51" w14:textId="77777777" w:rsidR="00C30464" w:rsidRPr="00BD01E6" w:rsidRDefault="00C30464" w:rsidP="00C30464">
            <w:pPr>
              <w:spacing w:before="120" w:after="120"/>
              <w:contextualSpacing/>
              <w:jc w:val="both"/>
              <w:rPr>
                <w:rFonts w:ascii="Arial" w:hAnsi="Arial"/>
                <w:sz w:val="20"/>
                <w:szCs w:val="20"/>
                <w:lang w:val="en-US"/>
              </w:rPr>
            </w:pPr>
          </w:p>
          <w:p w14:paraId="58060254" w14:textId="2026561C" w:rsidR="00C30464" w:rsidRPr="00BD01E6" w:rsidRDefault="00024907" w:rsidP="00C30464">
            <w:pPr>
              <w:spacing w:before="120" w:after="120"/>
              <w:contextualSpacing/>
              <w:jc w:val="both"/>
              <w:rPr>
                <w:rFonts w:ascii="Arial" w:hAnsi="Arial"/>
                <w:sz w:val="20"/>
                <w:szCs w:val="20"/>
              </w:rPr>
            </w:pPr>
            <m:oMath>
              <m:sSub>
                <m:sSubPr>
                  <m:ctrlPr>
                    <w:rPr>
                      <w:rFonts w:ascii="Cambria Math" w:hAnsi="Cambria Math"/>
                      <w:b/>
                      <w:bCs/>
                      <w:sz w:val="20"/>
                      <w:szCs w:val="20"/>
                    </w:rPr>
                  </m:ctrlPr>
                </m:sSubPr>
                <m:e>
                  <m:r>
                    <m:rPr>
                      <m:nor/>
                    </m:rPr>
                    <w:rPr>
                      <w:rFonts w:ascii="Cambria Math" w:hAnsi="Cambria Math"/>
                      <w:b/>
                      <w:bCs/>
                      <w:sz w:val="20"/>
                      <w:szCs w:val="20"/>
                    </w:rPr>
                    <m:t>PIACI</m:t>
                  </m:r>
                </m:e>
                <m:sub>
                  <m:r>
                    <m:rPr>
                      <m:nor/>
                    </m:rPr>
                    <w:rPr>
                      <w:rFonts w:ascii="Cambria Math" w:hAnsi="Cambria Math"/>
                      <w:b/>
                      <w:bCs/>
                      <w:sz w:val="20"/>
                      <w:szCs w:val="20"/>
                    </w:rPr>
                    <m:t>t</m:t>
                  </m:r>
                </m:sub>
              </m:sSub>
              <m:r>
                <m:rPr>
                  <m:sty m:val="b"/>
                </m:rPr>
                <w:rPr>
                  <w:rFonts w:ascii="Cambria Math" w:hAnsi="Cambria Math"/>
                  <w:sz w:val="20"/>
                  <w:szCs w:val="20"/>
                </w:rPr>
                <m:t>:</m:t>
              </m:r>
            </m:oMath>
            <w:r w:rsidR="00C30464" w:rsidRPr="00BD01E6">
              <w:rPr>
                <w:rFonts w:ascii="Arial" w:hAnsi="Arial"/>
                <w:sz w:val="20"/>
                <w:szCs w:val="20"/>
              </w:rPr>
              <w:t xml:space="preserve"> </w:t>
            </w:r>
            <w:r w:rsidR="00C30464" w:rsidRPr="00BD01E6">
              <w:rPr>
                <w:rFonts w:ascii="Arial" w:hAnsi="Arial"/>
                <w:bCs/>
                <w:sz w:val="20"/>
                <w:szCs w:val="20"/>
              </w:rPr>
              <w:t xml:space="preserve">Porcentaje de </w:t>
            </w:r>
            <w:r w:rsidR="001C5C45">
              <w:rPr>
                <w:rFonts w:ascii="Arial" w:hAnsi="Arial"/>
                <w:sz w:val="20"/>
                <w:szCs w:val="20"/>
              </w:rPr>
              <w:t>instalaciones de la administración central</w:t>
            </w:r>
            <w:r w:rsidR="00C30464" w:rsidRPr="00BD01E6">
              <w:rPr>
                <w:rFonts w:ascii="Arial" w:hAnsi="Arial"/>
                <w:sz w:val="20"/>
                <w:szCs w:val="20"/>
              </w:rPr>
              <w:t xml:space="preserve"> </w:t>
            </w:r>
            <w:r w:rsidR="001C5C45">
              <w:rPr>
                <w:rFonts w:ascii="Arial" w:hAnsi="Arial"/>
                <w:sz w:val="20"/>
                <w:szCs w:val="20"/>
              </w:rPr>
              <w:t xml:space="preserve">de las universidades públicas que brindan el </w:t>
            </w:r>
            <w:r w:rsidR="00C30464" w:rsidRPr="00BD01E6">
              <w:rPr>
                <w:rFonts w:ascii="Arial" w:hAnsi="Arial"/>
                <w:sz w:val="20"/>
                <w:szCs w:val="20"/>
              </w:rPr>
              <w:t>Servicio</w:t>
            </w:r>
            <w:r w:rsidR="00C30464" w:rsidRPr="00BD01E6">
              <w:rPr>
                <w:rFonts w:ascii="Arial" w:hAnsi="Arial"/>
                <w:bCs/>
                <w:sz w:val="20"/>
                <w:szCs w:val="20"/>
              </w:rPr>
              <w:t xml:space="preserve"> de Gestión Institucional </w:t>
            </w:r>
            <w:r w:rsidR="001C5C45">
              <w:rPr>
                <w:rFonts w:ascii="Arial" w:hAnsi="Arial"/>
                <w:bCs/>
                <w:sz w:val="20"/>
                <w:szCs w:val="20"/>
              </w:rPr>
              <w:t>en la Educación Superior Universitaria</w:t>
            </w:r>
            <w:r w:rsidR="00C30464" w:rsidRPr="00BD01E6">
              <w:rPr>
                <w:rFonts w:ascii="Arial" w:hAnsi="Arial"/>
                <w:bCs/>
                <w:sz w:val="20"/>
                <w:szCs w:val="20"/>
              </w:rPr>
              <w:t xml:space="preserve"> </w:t>
            </w:r>
            <w:r w:rsidR="001C5C45">
              <w:rPr>
                <w:rFonts w:ascii="Arial" w:hAnsi="Arial"/>
                <w:bCs/>
                <w:sz w:val="20"/>
                <w:szCs w:val="20"/>
              </w:rPr>
              <w:t xml:space="preserve">en </w:t>
            </w:r>
            <w:r w:rsidR="00414439">
              <w:rPr>
                <w:rFonts w:ascii="Arial" w:hAnsi="Arial"/>
                <w:bCs/>
                <w:sz w:val="20"/>
                <w:szCs w:val="20"/>
              </w:rPr>
              <w:t>condiciones</w:t>
            </w:r>
            <w:r w:rsidR="00C30464" w:rsidRPr="00BD01E6">
              <w:rPr>
                <w:rFonts w:ascii="Arial" w:hAnsi="Arial"/>
                <w:bCs/>
                <w:sz w:val="20"/>
                <w:szCs w:val="20"/>
              </w:rPr>
              <w:t xml:space="preserve"> inadecuad</w:t>
            </w:r>
            <w:r w:rsidR="00414439">
              <w:rPr>
                <w:rFonts w:ascii="Arial" w:hAnsi="Arial"/>
                <w:bCs/>
                <w:sz w:val="20"/>
                <w:szCs w:val="20"/>
              </w:rPr>
              <w:t>as</w:t>
            </w:r>
            <w:r w:rsidR="00C30464" w:rsidRPr="00BD01E6">
              <w:rPr>
                <w:rFonts w:ascii="Arial" w:hAnsi="Arial"/>
                <w:bCs/>
                <w:sz w:val="20"/>
                <w:szCs w:val="20"/>
              </w:rPr>
              <w:t xml:space="preserve"> </w:t>
            </w:r>
            <w:r w:rsidR="00C30464" w:rsidRPr="00BD01E6">
              <w:rPr>
                <w:rFonts w:ascii="Arial" w:hAnsi="Arial"/>
                <w:sz w:val="20"/>
                <w:szCs w:val="20"/>
              </w:rPr>
              <w:t>en el tiempo t.</w:t>
            </w:r>
          </w:p>
          <w:p w14:paraId="79942A6D" w14:textId="77777777" w:rsidR="00C30464" w:rsidRPr="00BD01E6" w:rsidRDefault="00C30464" w:rsidP="00C30464">
            <w:pPr>
              <w:spacing w:before="120" w:after="120"/>
              <w:contextualSpacing/>
              <w:jc w:val="both"/>
              <w:rPr>
                <w:rFonts w:ascii="Arial" w:hAnsi="Arial"/>
                <w:sz w:val="20"/>
                <w:szCs w:val="20"/>
              </w:rPr>
            </w:pPr>
          </w:p>
          <w:p w14:paraId="442C969A" w14:textId="366C2941" w:rsidR="00C30464" w:rsidRPr="00BD01E6" w:rsidRDefault="00024907" w:rsidP="00C30464">
            <w:pPr>
              <w:spacing w:before="120" w:after="120"/>
              <w:contextualSpacing/>
              <w:jc w:val="both"/>
              <w:rPr>
                <w:rFonts w:ascii="Arial" w:hAnsi="Arial"/>
                <w:sz w:val="20"/>
                <w:szCs w:val="20"/>
              </w:rPr>
            </w:pPr>
            <m:oMath>
              <m:sSub>
                <m:sSubPr>
                  <m:ctrlPr>
                    <w:rPr>
                      <w:rFonts w:ascii="Cambria Math" w:hAnsi="Cambria Math"/>
                      <w:b/>
                      <w:bCs/>
                      <w:sz w:val="20"/>
                      <w:szCs w:val="20"/>
                    </w:rPr>
                  </m:ctrlPr>
                </m:sSubPr>
                <m:e>
                  <m:r>
                    <m:rPr>
                      <m:sty m:val="b"/>
                    </m:rPr>
                    <w:rPr>
                      <w:rFonts w:ascii="Cambria Math" w:hAnsi="Cambria Math"/>
                      <w:sz w:val="20"/>
                      <w:szCs w:val="20"/>
                    </w:rPr>
                    <m:t>CTIACA</m:t>
                  </m:r>
                </m:e>
                <m:sub>
                  <m:r>
                    <m:rPr>
                      <m:sty m:val="b"/>
                    </m:rPr>
                    <w:rPr>
                      <w:rFonts w:ascii="Cambria Math" w:hAnsi="Cambria Math"/>
                      <w:sz w:val="20"/>
                      <w:szCs w:val="20"/>
                    </w:rPr>
                    <m:t>t</m:t>
                  </m:r>
                </m:sub>
              </m:sSub>
              <m:r>
                <m:rPr>
                  <m:sty m:val="b"/>
                </m:rPr>
                <w:rPr>
                  <w:rFonts w:ascii="Cambria Math" w:hAnsi="Cambria Math"/>
                  <w:sz w:val="20"/>
                  <w:szCs w:val="20"/>
                </w:rPr>
                <m:t>:</m:t>
              </m:r>
            </m:oMath>
            <w:r w:rsidR="00C30464" w:rsidRPr="00BD01E6">
              <w:rPr>
                <w:rFonts w:ascii="Arial" w:hAnsi="Arial"/>
                <w:sz w:val="20"/>
                <w:szCs w:val="20"/>
              </w:rPr>
              <w:t xml:space="preserve"> </w:t>
            </w:r>
            <w:r w:rsidR="001C5C45">
              <w:rPr>
                <w:rFonts w:ascii="Arial" w:hAnsi="Arial"/>
                <w:sz w:val="20"/>
                <w:szCs w:val="20"/>
              </w:rPr>
              <w:t>Cantidad total de instalaciones de la administración central</w:t>
            </w:r>
            <w:r w:rsidR="001C5C45" w:rsidRPr="00BD01E6">
              <w:rPr>
                <w:rFonts w:ascii="Arial" w:hAnsi="Arial"/>
                <w:sz w:val="20"/>
                <w:szCs w:val="20"/>
              </w:rPr>
              <w:t xml:space="preserve"> </w:t>
            </w:r>
            <w:r w:rsidR="001C5C45">
              <w:rPr>
                <w:rFonts w:ascii="Arial" w:hAnsi="Arial"/>
                <w:sz w:val="20"/>
                <w:szCs w:val="20"/>
              </w:rPr>
              <w:t xml:space="preserve">de las universidades públicas que brindan el </w:t>
            </w:r>
            <w:r w:rsidR="001C5C45" w:rsidRPr="00BD01E6">
              <w:rPr>
                <w:rFonts w:ascii="Arial" w:hAnsi="Arial"/>
                <w:sz w:val="20"/>
                <w:szCs w:val="20"/>
              </w:rPr>
              <w:t>Servicio</w:t>
            </w:r>
            <w:r w:rsidR="001C5C45" w:rsidRPr="00BD01E6">
              <w:rPr>
                <w:rFonts w:ascii="Arial" w:hAnsi="Arial"/>
                <w:bCs/>
                <w:sz w:val="20"/>
                <w:szCs w:val="20"/>
              </w:rPr>
              <w:t xml:space="preserve"> de Gestión Institucional </w:t>
            </w:r>
            <w:r w:rsidR="001C5C45">
              <w:rPr>
                <w:rFonts w:ascii="Arial" w:hAnsi="Arial"/>
                <w:bCs/>
                <w:sz w:val="20"/>
                <w:szCs w:val="20"/>
              </w:rPr>
              <w:t>en la Educación Superior Universitaria</w:t>
            </w:r>
            <w:r w:rsidR="001C5C45" w:rsidRPr="00BD01E6">
              <w:rPr>
                <w:rFonts w:ascii="Arial" w:hAnsi="Arial"/>
                <w:bCs/>
                <w:sz w:val="20"/>
                <w:szCs w:val="20"/>
              </w:rPr>
              <w:t xml:space="preserve"> </w:t>
            </w:r>
            <w:r w:rsidR="001C5C45">
              <w:rPr>
                <w:rFonts w:ascii="Arial" w:hAnsi="Arial"/>
                <w:bCs/>
                <w:sz w:val="20"/>
                <w:szCs w:val="20"/>
              </w:rPr>
              <w:t>en estado situacional</w:t>
            </w:r>
            <w:r w:rsidR="001C5C45" w:rsidRPr="00BD01E6">
              <w:rPr>
                <w:rFonts w:ascii="Arial" w:hAnsi="Arial"/>
                <w:bCs/>
                <w:sz w:val="20"/>
                <w:szCs w:val="20"/>
              </w:rPr>
              <w:t xml:space="preserve"> adecuad</w:t>
            </w:r>
            <w:r w:rsidR="001C5C45">
              <w:rPr>
                <w:rFonts w:ascii="Arial" w:hAnsi="Arial"/>
                <w:bCs/>
                <w:sz w:val="20"/>
                <w:szCs w:val="20"/>
              </w:rPr>
              <w:t>o</w:t>
            </w:r>
            <w:r w:rsidR="00C30464" w:rsidRPr="00BD01E6">
              <w:rPr>
                <w:rFonts w:ascii="Arial" w:hAnsi="Arial"/>
                <w:sz w:val="20"/>
                <w:szCs w:val="20"/>
              </w:rPr>
              <w:t xml:space="preserve"> en el tiempo t.</w:t>
            </w:r>
          </w:p>
          <w:p w14:paraId="7D9A6749" w14:textId="77777777" w:rsidR="00C30464" w:rsidRPr="00BD01E6" w:rsidRDefault="00C30464" w:rsidP="00C30464">
            <w:pPr>
              <w:spacing w:before="120" w:after="120"/>
              <w:contextualSpacing/>
              <w:jc w:val="both"/>
              <w:rPr>
                <w:rFonts w:ascii="Arial" w:hAnsi="Arial"/>
                <w:sz w:val="20"/>
                <w:szCs w:val="20"/>
              </w:rPr>
            </w:pPr>
          </w:p>
          <w:p w14:paraId="27795774" w14:textId="260058E4" w:rsidR="00C30464" w:rsidRPr="00BD01E6" w:rsidRDefault="00024907" w:rsidP="00C30464">
            <w:pPr>
              <w:spacing w:before="120" w:after="120"/>
              <w:contextualSpacing/>
              <w:jc w:val="both"/>
              <w:rPr>
                <w:rFonts w:ascii="Arial" w:hAnsi="Arial"/>
                <w:sz w:val="20"/>
                <w:szCs w:val="20"/>
              </w:rPr>
            </w:pPr>
            <m:oMath>
              <m:sSub>
                <m:sSubPr>
                  <m:ctrlPr>
                    <w:rPr>
                      <w:rFonts w:ascii="Cambria Math" w:hAnsi="Cambria Math"/>
                      <w:b/>
                      <w:bCs/>
                      <w:sz w:val="20"/>
                      <w:szCs w:val="20"/>
                    </w:rPr>
                  </m:ctrlPr>
                </m:sSubPr>
                <m:e>
                  <m:r>
                    <m:rPr>
                      <m:sty m:val="b"/>
                    </m:rPr>
                    <w:rPr>
                      <w:rFonts w:ascii="Cambria Math" w:hAnsi="Cambria Math"/>
                      <w:sz w:val="20"/>
                      <w:szCs w:val="20"/>
                    </w:rPr>
                    <m:t>CTIAC</m:t>
                  </m:r>
                </m:e>
                <m:sub>
                  <m:r>
                    <m:rPr>
                      <m:sty m:val="b"/>
                    </m:rPr>
                    <w:rPr>
                      <w:rFonts w:ascii="Cambria Math" w:hAnsi="Cambria Math"/>
                      <w:sz w:val="20"/>
                      <w:szCs w:val="20"/>
                    </w:rPr>
                    <m:t>t</m:t>
                  </m:r>
                </m:sub>
              </m:sSub>
              <m:r>
                <m:rPr>
                  <m:sty m:val="b"/>
                </m:rPr>
                <w:rPr>
                  <w:rFonts w:ascii="Cambria Math" w:hAnsi="Cambria Math"/>
                  <w:sz w:val="20"/>
                  <w:szCs w:val="20"/>
                </w:rPr>
                <m:t>:</m:t>
              </m:r>
            </m:oMath>
            <w:r w:rsidR="00C30464" w:rsidRPr="00BD01E6">
              <w:rPr>
                <w:rFonts w:ascii="Arial" w:hAnsi="Arial"/>
                <w:sz w:val="20"/>
                <w:szCs w:val="20"/>
              </w:rPr>
              <w:t xml:space="preserve"> </w:t>
            </w:r>
            <w:r w:rsidR="001C5C45">
              <w:rPr>
                <w:rFonts w:ascii="Arial" w:hAnsi="Arial"/>
                <w:sz w:val="20"/>
                <w:szCs w:val="20"/>
              </w:rPr>
              <w:t>Cantidad t</w:t>
            </w:r>
            <w:r w:rsidR="00C30464" w:rsidRPr="00BD01E6">
              <w:rPr>
                <w:rFonts w:ascii="Arial" w:hAnsi="Arial"/>
                <w:sz w:val="20"/>
                <w:szCs w:val="20"/>
              </w:rPr>
              <w:t xml:space="preserve">otal de </w:t>
            </w:r>
            <w:r w:rsidR="00115241">
              <w:rPr>
                <w:rFonts w:ascii="Arial" w:hAnsi="Arial"/>
                <w:sz w:val="20"/>
                <w:szCs w:val="20"/>
              </w:rPr>
              <w:t>instalaciones de la administración central</w:t>
            </w:r>
            <w:r w:rsidR="00115241" w:rsidRPr="00BD01E6">
              <w:rPr>
                <w:rFonts w:ascii="Arial" w:hAnsi="Arial"/>
                <w:sz w:val="20"/>
                <w:szCs w:val="20"/>
              </w:rPr>
              <w:t xml:space="preserve"> </w:t>
            </w:r>
            <w:r w:rsidR="00115241">
              <w:rPr>
                <w:rFonts w:ascii="Arial" w:hAnsi="Arial"/>
                <w:sz w:val="20"/>
                <w:szCs w:val="20"/>
              </w:rPr>
              <w:t xml:space="preserve">de las universidades públicas que brindan el </w:t>
            </w:r>
            <w:r w:rsidR="00115241" w:rsidRPr="00BD01E6">
              <w:rPr>
                <w:rFonts w:ascii="Arial" w:hAnsi="Arial"/>
                <w:sz w:val="20"/>
                <w:szCs w:val="20"/>
              </w:rPr>
              <w:t>Servicio</w:t>
            </w:r>
            <w:r w:rsidR="00115241" w:rsidRPr="00BD01E6">
              <w:rPr>
                <w:rFonts w:ascii="Arial" w:hAnsi="Arial"/>
                <w:bCs/>
                <w:sz w:val="20"/>
                <w:szCs w:val="20"/>
              </w:rPr>
              <w:t xml:space="preserve"> de Gestión Institucional </w:t>
            </w:r>
            <w:r w:rsidR="00115241">
              <w:rPr>
                <w:rFonts w:ascii="Arial" w:hAnsi="Arial"/>
                <w:bCs/>
                <w:sz w:val="20"/>
                <w:szCs w:val="20"/>
              </w:rPr>
              <w:t>en la Educación Superior Universitaria</w:t>
            </w:r>
            <w:r w:rsidR="00115241" w:rsidRPr="00BD01E6" w:rsidDel="00115241">
              <w:rPr>
                <w:rFonts w:ascii="Arial" w:hAnsi="Arial"/>
                <w:sz w:val="20"/>
                <w:szCs w:val="20"/>
              </w:rPr>
              <w:t xml:space="preserve"> </w:t>
            </w:r>
            <w:r w:rsidR="00C30464" w:rsidRPr="00BD01E6">
              <w:rPr>
                <w:rFonts w:ascii="Arial" w:hAnsi="Arial"/>
                <w:sz w:val="20"/>
                <w:szCs w:val="20"/>
              </w:rPr>
              <w:t>en el tiempo t.</w:t>
            </w:r>
          </w:p>
          <w:p w14:paraId="751CC166" w14:textId="77777777" w:rsidR="00C30464" w:rsidRPr="00BD01E6" w:rsidRDefault="00C30464" w:rsidP="00C30464">
            <w:pPr>
              <w:spacing w:before="120" w:after="120"/>
              <w:contextualSpacing/>
              <w:jc w:val="both"/>
              <w:rPr>
                <w:rFonts w:ascii="Arial" w:hAnsi="Arial"/>
                <w:sz w:val="20"/>
                <w:szCs w:val="20"/>
              </w:rPr>
            </w:pPr>
          </w:p>
          <w:p w14:paraId="6B345219" w14:textId="31446982" w:rsidR="00C30464" w:rsidRPr="00BD01E6" w:rsidRDefault="00C30464" w:rsidP="00C30464">
            <w:pPr>
              <w:contextualSpacing/>
              <w:jc w:val="both"/>
              <w:rPr>
                <w:rFonts w:ascii="Arial" w:hAnsi="Arial"/>
                <w:sz w:val="20"/>
                <w:szCs w:val="20"/>
              </w:rPr>
            </w:pPr>
            <w:r w:rsidRPr="00BD01E6">
              <w:rPr>
                <w:rFonts w:ascii="Arial" w:hAnsi="Arial"/>
                <w:sz w:val="20"/>
                <w:szCs w:val="20"/>
              </w:rPr>
              <w:t xml:space="preserve">El indicador puede ser aplicado a nivel </w:t>
            </w:r>
            <w:r w:rsidR="00DC7707">
              <w:rPr>
                <w:rFonts w:ascii="Arial" w:hAnsi="Arial"/>
                <w:sz w:val="20"/>
                <w:szCs w:val="20"/>
              </w:rPr>
              <w:t>n</w:t>
            </w:r>
            <w:r w:rsidRPr="00BD01E6">
              <w:rPr>
                <w:rFonts w:ascii="Arial" w:hAnsi="Arial"/>
                <w:sz w:val="20"/>
                <w:szCs w:val="20"/>
              </w:rPr>
              <w:t xml:space="preserve">acional o en cada </w:t>
            </w:r>
            <w:r w:rsidR="00DC7707">
              <w:rPr>
                <w:rFonts w:ascii="Arial" w:hAnsi="Arial"/>
                <w:sz w:val="20"/>
                <w:szCs w:val="20"/>
              </w:rPr>
              <w:t>u</w:t>
            </w:r>
            <w:r w:rsidRPr="00BD01E6">
              <w:rPr>
                <w:rFonts w:ascii="Arial" w:hAnsi="Arial"/>
                <w:sz w:val="20"/>
                <w:szCs w:val="20"/>
              </w:rPr>
              <w:t>niversidad específica.</w:t>
            </w:r>
          </w:p>
          <w:p w14:paraId="3B36C1BA" w14:textId="77777777" w:rsidR="00246044" w:rsidRPr="00BD01E6" w:rsidRDefault="00246044" w:rsidP="002C6B38">
            <w:pPr>
              <w:rPr>
                <w:rFonts w:ascii="Arial" w:hAnsi="Arial" w:cs="Arial"/>
                <w:b/>
                <w:bCs/>
                <w:szCs w:val="20"/>
              </w:rPr>
            </w:pPr>
          </w:p>
        </w:tc>
      </w:tr>
      <w:tr w:rsidR="00BD01E6" w:rsidRPr="00BD01E6" w14:paraId="730684A9" w14:textId="4CA7E152"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5F7BF502" w14:textId="73F919D4" w:rsidR="002C6B38" w:rsidRPr="00BD01E6" w:rsidRDefault="002C6B38" w:rsidP="002C6B38">
            <w:pPr>
              <w:rPr>
                <w:rFonts w:ascii="Arial" w:hAnsi="Arial" w:cs="Arial"/>
                <w:sz w:val="18"/>
                <w:szCs w:val="20"/>
              </w:rPr>
            </w:pPr>
            <w:r w:rsidRPr="00BD01E6">
              <w:rPr>
                <w:rFonts w:ascii="Arial" w:hAnsi="Arial" w:cs="Arial"/>
                <w:b/>
                <w:bCs/>
                <w:szCs w:val="20"/>
              </w:rPr>
              <w:t>Precisiones</w:t>
            </w:r>
            <w:r w:rsidRPr="00BD01E6">
              <w:rPr>
                <w:rFonts w:ascii="Arial" w:hAnsi="Arial" w:cs="Arial"/>
                <w:b/>
                <w:bCs/>
                <w:sz w:val="20"/>
                <w:szCs w:val="20"/>
              </w:rPr>
              <w:t xml:space="preserve"> </w:t>
            </w:r>
            <w:r w:rsidRPr="00BD01E6">
              <w:rPr>
                <w:rFonts w:ascii="Arial" w:hAnsi="Arial" w:cs="Arial"/>
                <w:b/>
                <w:bCs/>
                <w:szCs w:val="20"/>
              </w:rPr>
              <w:t>Técnicas</w:t>
            </w:r>
          </w:p>
        </w:tc>
      </w:tr>
      <w:tr w:rsidR="00BD01E6" w:rsidRPr="00BD01E6" w14:paraId="706D69A9"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5B2EE024" w14:textId="77777777" w:rsidR="00115241" w:rsidRPr="00863D7D" w:rsidRDefault="00115241" w:rsidP="00863D7D">
            <w:pPr>
              <w:pStyle w:val="Prrafodelista"/>
              <w:ind w:left="1080"/>
            </w:pPr>
          </w:p>
          <w:p w14:paraId="6FDC5888" w14:textId="5CDCA4EF" w:rsidR="0029788E" w:rsidRDefault="0029788E" w:rsidP="0029788E">
            <w:pPr>
              <w:pStyle w:val="Prrafodelista"/>
              <w:numPr>
                <w:ilvl w:val="0"/>
                <w:numId w:val="31"/>
              </w:numPr>
              <w:spacing w:line="256" w:lineRule="auto"/>
              <w:jc w:val="both"/>
              <w:rPr>
                <w:rFonts w:ascii="Arial" w:hAnsi="Arial"/>
                <w:sz w:val="20"/>
                <w:szCs w:val="20"/>
              </w:rPr>
            </w:pPr>
            <w:r>
              <w:rPr>
                <w:rFonts w:ascii="Arial" w:hAnsi="Arial"/>
                <w:sz w:val="20"/>
                <w:szCs w:val="20"/>
              </w:rPr>
              <w:t>La cantidad total de instalaciones de la administración central</w:t>
            </w:r>
            <w:r w:rsidRPr="00BD01E6">
              <w:rPr>
                <w:rFonts w:ascii="Arial" w:hAnsi="Arial"/>
                <w:sz w:val="20"/>
                <w:szCs w:val="20"/>
              </w:rPr>
              <w:t xml:space="preserve"> </w:t>
            </w:r>
            <w:r>
              <w:rPr>
                <w:rFonts w:ascii="Arial" w:hAnsi="Arial"/>
                <w:sz w:val="20"/>
                <w:szCs w:val="20"/>
              </w:rPr>
              <w:t xml:space="preserve">de las universidades públicas que brindan el </w:t>
            </w:r>
            <w:r w:rsidRPr="00BD01E6">
              <w:rPr>
                <w:rFonts w:ascii="Arial" w:hAnsi="Arial"/>
                <w:sz w:val="20"/>
                <w:szCs w:val="20"/>
              </w:rPr>
              <w:t>Servicio</w:t>
            </w:r>
            <w:r w:rsidRPr="00BD01E6">
              <w:rPr>
                <w:rFonts w:ascii="Arial" w:hAnsi="Arial"/>
                <w:bCs/>
                <w:sz w:val="20"/>
                <w:szCs w:val="20"/>
              </w:rPr>
              <w:t xml:space="preserve"> de Gestión Institucional </w:t>
            </w:r>
            <w:r>
              <w:rPr>
                <w:rFonts w:ascii="Arial" w:hAnsi="Arial"/>
                <w:bCs/>
                <w:sz w:val="20"/>
                <w:szCs w:val="20"/>
              </w:rPr>
              <w:t>en la Educación Superior Universitaria</w:t>
            </w:r>
            <w:r w:rsidRPr="00BD01E6">
              <w:rPr>
                <w:rFonts w:ascii="Arial" w:hAnsi="Arial"/>
                <w:bCs/>
                <w:sz w:val="20"/>
                <w:szCs w:val="20"/>
              </w:rPr>
              <w:t xml:space="preserve"> </w:t>
            </w:r>
            <w:r>
              <w:rPr>
                <w:rFonts w:ascii="Arial" w:hAnsi="Arial"/>
                <w:sz w:val="20"/>
                <w:szCs w:val="20"/>
              </w:rPr>
              <w:t>se calcula de la siguiente forma:</w:t>
            </w:r>
          </w:p>
          <w:p w14:paraId="17B03CB8" w14:textId="77777777" w:rsidR="0029788E" w:rsidRDefault="0029788E" w:rsidP="00863D7D">
            <w:pPr>
              <w:pStyle w:val="Prrafodelista"/>
              <w:spacing w:line="256" w:lineRule="auto"/>
              <w:jc w:val="both"/>
              <w:rPr>
                <w:rFonts w:ascii="Arial" w:hAnsi="Arial"/>
                <w:sz w:val="20"/>
                <w:szCs w:val="20"/>
              </w:rPr>
            </w:pPr>
          </w:p>
          <w:p w14:paraId="733D3AE3" w14:textId="77777777" w:rsidR="0029788E" w:rsidRDefault="0029788E" w:rsidP="0029788E">
            <w:pPr>
              <w:pStyle w:val="Prrafodelista"/>
              <w:jc w:val="both"/>
              <w:rPr>
                <w:rFonts w:ascii="Arial" w:hAnsi="Arial"/>
                <w:sz w:val="20"/>
                <w:szCs w:val="20"/>
              </w:rPr>
            </w:pPr>
          </w:p>
          <w:p w14:paraId="0F091360" w14:textId="34B7A6D7" w:rsidR="0029788E" w:rsidRDefault="00024907" w:rsidP="0029788E">
            <w:pPr>
              <w:pStyle w:val="Prrafodelista"/>
              <w:jc w:val="both"/>
              <w:rPr>
                <w:rFonts w:ascii="Arial" w:hAnsi="Arial"/>
                <w:sz w:val="20"/>
                <w:szCs w:val="20"/>
              </w:rPr>
            </w:pPr>
            <m:oMathPara>
              <m:oMath>
                <m:sSub>
                  <m:sSubPr>
                    <m:ctrlPr>
                      <w:rPr>
                        <w:rFonts w:ascii="Cambria Math" w:hAnsi="Cambria Math"/>
                        <w:b/>
                        <w:bCs/>
                        <w:i/>
                        <w:sz w:val="24"/>
                        <w:szCs w:val="24"/>
                      </w:rPr>
                    </m:ctrlPr>
                  </m:sSubPr>
                  <m:e>
                    <m:r>
                      <m:rPr>
                        <m:sty m:val="bi"/>
                      </m:rPr>
                      <w:rPr>
                        <w:rFonts w:ascii="Cambria Math" w:hAnsi="Cambria Math"/>
                        <w:sz w:val="24"/>
                        <w:szCs w:val="24"/>
                      </w:rPr>
                      <m:t>CTIAC</m:t>
                    </m:r>
                  </m:e>
                  <m:sub>
                    <m:r>
                      <m:rPr>
                        <m:sty m:val="bi"/>
                      </m:rPr>
                      <w:rPr>
                        <w:rFonts w:ascii="Cambria Math" w:hAnsi="Cambria Math"/>
                        <w:sz w:val="24"/>
                        <w:szCs w:val="24"/>
                      </w:rPr>
                      <m:t>t</m:t>
                    </m:r>
                  </m:sub>
                </m:sSub>
                <m:r>
                  <m:rPr>
                    <m:sty m:val="bi"/>
                  </m:rPr>
                  <w:rPr>
                    <w:rFonts w:ascii="Cambria Math" w:hAnsi="Cambria Math"/>
                    <w:sz w:val="24"/>
                    <w:szCs w:val="24"/>
                  </w:rPr>
                  <m:t xml:space="preserve">= </m:t>
                </m:r>
                <m:sSub>
                  <m:sSubPr>
                    <m:ctrlPr>
                      <w:rPr>
                        <w:rFonts w:ascii="Cambria Math" w:hAnsi="Cambria Math"/>
                        <w:b/>
                        <w:bCs/>
                        <w:i/>
                        <w:sz w:val="24"/>
                        <w:szCs w:val="24"/>
                      </w:rPr>
                    </m:ctrlPr>
                  </m:sSubPr>
                  <m:e>
                    <m:r>
                      <m:rPr>
                        <m:sty m:val="bi"/>
                      </m:rPr>
                      <w:rPr>
                        <w:rFonts w:ascii="Cambria Math" w:hAnsi="Cambria Math"/>
                        <w:sz w:val="24"/>
                        <w:szCs w:val="24"/>
                      </w:rPr>
                      <m:t>CTIACA</m:t>
                    </m:r>
                  </m:e>
                  <m:sub>
                    <m:r>
                      <m:rPr>
                        <m:sty m:val="bi"/>
                      </m:rPr>
                      <w:rPr>
                        <w:rFonts w:ascii="Cambria Math" w:hAnsi="Cambria Math"/>
                        <w:sz w:val="24"/>
                        <w:szCs w:val="24"/>
                      </w:rPr>
                      <m:t>t</m:t>
                    </m:r>
                  </m:sub>
                </m:sSub>
                <m:r>
                  <m:rPr>
                    <m:sty m:val="bi"/>
                  </m:rPr>
                  <w:rPr>
                    <w:rFonts w:ascii="Cambria Math" w:hAnsi="Cambria Math"/>
                    <w:sz w:val="24"/>
                    <w:szCs w:val="24"/>
                  </w:rPr>
                  <m:t xml:space="preserve">+ </m:t>
                </m:r>
                <m:sSub>
                  <m:sSubPr>
                    <m:ctrlPr>
                      <w:rPr>
                        <w:rFonts w:ascii="Cambria Math" w:hAnsi="Cambria Math"/>
                        <w:b/>
                        <w:bCs/>
                        <w:i/>
                        <w:sz w:val="24"/>
                        <w:szCs w:val="24"/>
                      </w:rPr>
                    </m:ctrlPr>
                  </m:sSubPr>
                  <m:e>
                    <m:r>
                      <m:rPr>
                        <m:sty m:val="bi"/>
                      </m:rPr>
                      <w:rPr>
                        <w:rFonts w:ascii="Cambria Math" w:hAnsi="Cambria Math"/>
                        <w:sz w:val="24"/>
                        <w:szCs w:val="24"/>
                      </w:rPr>
                      <m:t>CTIACI</m:t>
                    </m:r>
                  </m:e>
                  <m:sub>
                    <m:r>
                      <m:rPr>
                        <m:sty m:val="bi"/>
                      </m:rPr>
                      <w:rPr>
                        <w:rFonts w:ascii="Cambria Math" w:hAnsi="Cambria Math"/>
                        <w:sz w:val="24"/>
                        <w:szCs w:val="24"/>
                      </w:rPr>
                      <m:t>t</m:t>
                    </m:r>
                  </m:sub>
                </m:sSub>
              </m:oMath>
            </m:oMathPara>
          </w:p>
          <w:p w14:paraId="6A38F58E" w14:textId="77777777" w:rsidR="0029788E" w:rsidRDefault="0029788E" w:rsidP="0029788E">
            <w:pPr>
              <w:rPr>
                <w:rFonts w:ascii="Arial" w:hAnsi="Arial"/>
                <w:bCs/>
                <w:sz w:val="20"/>
                <w:szCs w:val="20"/>
              </w:rPr>
            </w:pPr>
          </w:p>
          <w:p w14:paraId="263144D2" w14:textId="77777777" w:rsidR="0029788E" w:rsidRDefault="0029788E" w:rsidP="0029788E">
            <w:pPr>
              <w:rPr>
                <w:rFonts w:ascii="Arial" w:hAnsi="Arial"/>
                <w:bCs/>
                <w:sz w:val="20"/>
                <w:szCs w:val="20"/>
              </w:rPr>
            </w:pPr>
          </w:p>
          <w:p w14:paraId="4B29E5E9" w14:textId="0488595B" w:rsidR="0029788E" w:rsidRDefault="00024907" w:rsidP="0029788E">
            <w:pPr>
              <w:ind w:left="873" w:hanging="851"/>
              <w:rPr>
                <w:rFonts w:ascii="Arial" w:hAnsi="Arial"/>
                <w:snapToGrid w:val="0"/>
                <w:sz w:val="20"/>
                <w:szCs w:val="20"/>
              </w:rPr>
            </w:pPr>
            <m:oMath>
              <m:sSub>
                <m:sSubPr>
                  <m:ctrlPr>
                    <w:rPr>
                      <w:rFonts w:ascii="Cambria Math" w:hAnsi="Cambria Math"/>
                      <w:b/>
                      <w:bCs/>
                      <w:i/>
                      <w:sz w:val="24"/>
                      <w:szCs w:val="24"/>
                    </w:rPr>
                  </m:ctrlPr>
                </m:sSubPr>
                <m:e>
                  <m:r>
                    <m:rPr>
                      <m:sty m:val="bi"/>
                    </m:rPr>
                    <w:rPr>
                      <w:rFonts w:ascii="Cambria Math" w:hAnsi="Cambria Math"/>
                      <w:sz w:val="24"/>
                      <w:szCs w:val="24"/>
                    </w:rPr>
                    <m:t>CTIAC</m:t>
                  </m:r>
                </m:e>
                <m:sub>
                  <m:r>
                    <m:rPr>
                      <m:sty m:val="bi"/>
                    </m:rPr>
                    <w:rPr>
                      <w:rFonts w:ascii="Cambria Math" w:hAnsi="Cambria Math"/>
                      <w:sz w:val="24"/>
                      <w:szCs w:val="24"/>
                    </w:rPr>
                    <m:t>t</m:t>
                  </m:r>
                </m:sub>
              </m:sSub>
              <m:r>
                <m:rPr>
                  <m:sty m:val="bi"/>
                </m:rPr>
                <w:rPr>
                  <w:rFonts w:ascii="Cambria Math" w:hAnsi="Cambria Math"/>
                  <w:sz w:val="24"/>
                  <w:szCs w:val="24"/>
                </w:rPr>
                <m:t xml:space="preserve">: </m:t>
              </m:r>
            </m:oMath>
            <w:r w:rsidR="00BA494B">
              <w:rPr>
                <w:rFonts w:ascii="Arial" w:hAnsi="Arial"/>
                <w:sz w:val="20"/>
                <w:szCs w:val="20"/>
              </w:rPr>
              <w:t>Cantidad</w:t>
            </w:r>
            <w:r w:rsidR="0029788E">
              <w:rPr>
                <w:rFonts w:ascii="Arial" w:hAnsi="Arial"/>
                <w:sz w:val="20"/>
                <w:szCs w:val="20"/>
              </w:rPr>
              <w:t xml:space="preserve"> total de instalaciones de la administración central</w:t>
            </w:r>
            <w:r w:rsidR="0029788E" w:rsidRPr="00BD01E6">
              <w:rPr>
                <w:rFonts w:ascii="Arial" w:hAnsi="Arial"/>
                <w:sz w:val="20"/>
                <w:szCs w:val="20"/>
              </w:rPr>
              <w:t xml:space="preserve"> </w:t>
            </w:r>
            <w:r w:rsidR="0029788E">
              <w:rPr>
                <w:rFonts w:ascii="Arial" w:hAnsi="Arial"/>
                <w:sz w:val="20"/>
                <w:szCs w:val="20"/>
              </w:rPr>
              <w:t xml:space="preserve">de las universidades públicas que brindan el </w:t>
            </w:r>
            <w:r w:rsidR="0029788E" w:rsidRPr="00BD01E6">
              <w:rPr>
                <w:rFonts w:ascii="Arial" w:hAnsi="Arial"/>
                <w:sz w:val="20"/>
                <w:szCs w:val="20"/>
              </w:rPr>
              <w:t>Servicio</w:t>
            </w:r>
            <w:r w:rsidR="0029788E" w:rsidRPr="00BD01E6">
              <w:rPr>
                <w:rFonts w:ascii="Arial" w:hAnsi="Arial"/>
                <w:bCs/>
                <w:sz w:val="20"/>
                <w:szCs w:val="20"/>
              </w:rPr>
              <w:t xml:space="preserve"> de Gestión Institucional </w:t>
            </w:r>
            <w:r w:rsidR="0029788E">
              <w:rPr>
                <w:rFonts w:ascii="Arial" w:hAnsi="Arial"/>
                <w:bCs/>
                <w:sz w:val="20"/>
                <w:szCs w:val="20"/>
              </w:rPr>
              <w:t>en la Educación Superior Universitaria en el tiempo t</w:t>
            </w:r>
          </w:p>
          <w:p w14:paraId="2165E946" w14:textId="77777777" w:rsidR="0029788E" w:rsidRDefault="0029788E" w:rsidP="0029788E">
            <w:pPr>
              <w:rPr>
                <w:rFonts w:ascii="Arial" w:hAnsi="Arial"/>
                <w:snapToGrid w:val="0"/>
                <w:sz w:val="20"/>
                <w:szCs w:val="20"/>
              </w:rPr>
            </w:pPr>
          </w:p>
          <w:p w14:paraId="5DB2DCCC" w14:textId="7DD8A3F7" w:rsidR="0029788E" w:rsidRDefault="00024907" w:rsidP="0029788E">
            <w:pPr>
              <w:rPr>
                <w:rFonts w:ascii="Arial" w:hAnsi="Arial"/>
                <w:snapToGrid w:val="0"/>
                <w:sz w:val="20"/>
                <w:szCs w:val="20"/>
              </w:rPr>
            </w:pPr>
            <m:oMath>
              <m:sSub>
                <m:sSubPr>
                  <m:ctrlPr>
                    <w:rPr>
                      <w:rFonts w:ascii="Cambria Math" w:hAnsi="Cambria Math"/>
                      <w:b/>
                      <w:bCs/>
                      <w:i/>
                      <w:sz w:val="24"/>
                      <w:szCs w:val="24"/>
                    </w:rPr>
                  </m:ctrlPr>
                </m:sSubPr>
                <m:e>
                  <m:r>
                    <m:rPr>
                      <m:sty m:val="bi"/>
                    </m:rPr>
                    <w:rPr>
                      <w:rFonts w:ascii="Cambria Math" w:hAnsi="Cambria Math"/>
                      <w:sz w:val="24"/>
                      <w:szCs w:val="24"/>
                    </w:rPr>
                    <m:t>CTIACA</m:t>
                  </m:r>
                </m:e>
                <m:sub>
                  <m:r>
                    <m:rPr>
                      <m:sty m:val="bi"/>
                    </m:rPr>
                    <w:rPr>
                      <w:rFonts w:ascii="Cambria Math" w:hAnsi="Cambria Math"/>
                      <w:sz w:val="24"/>
                      <w:szCs w:val="24"/>
                    </w:rPr>
                    <m:t>t</m:t>
                  </m:r>
                </m:sub>
              </m:sSub>
              <m:r>
                <m:rPr>
                  <m:sty m:val="bi"/>
                </m:rPr>
                <w:rPr>
                  <w:rFonts w:ascii="Cambria Math" w:hAnsi="Cambria Math"/>
                  <w:sz w:val="24"/>
                  <w:szCs w:val="24"/>
                </w:rPr>
                <m:t xml:space="preserve">: </m:t>
              </m:r>
            </m:oMath>
            <w:r w:rsidR="0029788E">
              <w:rPr>
                <w:rFonts w:ascii="Arial" w:hAnsi="Arial"/>
                <w:sz w:val="20"/>
                <w:szCs w:val="20"/>
              </w:rPr>
              <w:t>Cantidad total de instalaciones de la administración central</w:t>
            </w:r>
            <w:r w:rsidR="0029788E" w:rsidRPr="00BD01E6">
              <w:rPr>
                <w:rFonts w:ascii="Arial" w:hAnsi="Arial"/>
                <w:sz w:val="20"/>
                <w:szCs w:val="20"/>
              </w:rPr>
              <w:t xml:space="preserve"> </w:t>
            </w:r>
            <w:r w:rsidR="0029788E">
              <w:rPr>
                <w:rFonts w:ascii="Arial" w:hAnsi="Arial"/>
                <w:sz w:val="20"/>
                <w:szCs w:val="20"/>
              </w:rPr>
              <w:t xml:space="preserve">de las universidades públicas que brindan el </w:t>
            </w:r>
            <w:r w:rsidR="0029788E" w:rsidRPr="00BD01E6">
              <w:rPr>
                <w:rFonts w:ascii="Arial" w:hAnsi="Arial"/>
                <w:sz w:val="20"/>
                <w:szCs w:val="20"/>
              </w:rPr>
              <w:t>Servicio</w:t>
            </w:r>
            <w:r w:rsidR="0029788E" w:rsidRPr="00BD01E6">
              <w:rPr>
                <w:rFonts w:ascii="Arial" w:hAnsi="Arial"/>
                <w:bCs/>
                <w:sz w:val="20"/>
                <w:szCs w:val="20"/>
              </w:rPr>
              <w:t xml:space="preserve"> de Gestión Institucional </w:t>
            </w:r>
            <w:r w:rsidR="0029788E">
              <w:rPr>
                <w:rFonts w:ascii="Arial" w:hAnsi="Arial"/>
                <w:bCs/>
                <w:sz w:val="20"/>
                <w:szCs w:val="20"/>
              </w:rPr>
              <w:t xml:space="preserve">en la Educación Superior Universitaria en estado situacional adecuado </w:t>
            </w:r>
            <w:r w:rsidR="0029788E" w:rsidRPr="00904D27">
              <w:rPr>
                <w:rFonts w:ascii="Arial" w:hAnsi="Arial"/>
                <w:sz w:val="18"/>
                <w:szCs w:val="18"/>
              </w:rPr>
              <w:t>en el tiempo t.</w:t>
            </w:r>
          </w:p>
          <w:p w14:paraId="31CD6B0E" w14:textId="77777777" w:rsidR="0029788E" w:rsidRDefault="0029788E" w:rsidP="0029788E">
            <w:pPr>
              <w:rPr>
                <w:rFonts w:ascii="Arial" w:hAnsi="Arial"/>
                <w:snapToGrid w:val="0"/>
                <w:sz w:val="20"/>
                <w:szCs w:val="20"/>
              </w:rPr>
            </w:pPr>
          </w:p>
          <w:p w14:paraId="3090D5F9" w14:textId="7B172580" w:rsidR="0029788E" w:rsidRDefault="00024907" w:rsidP="0029788E">
            <w:pPr>
              <w:rPr>
                <w:rFonts w:ascii="Arial" w:hAnsi="Arial"/>
                <w:sz w:val="20"/>
                <w:szCs w:val="20"/>
              </w:rPr>
            </w:pPr>
            <m:oMath>
              <m:sSub>
                <m:sSubPr>
                  <m:ctrlPr>
                    <w:rPr>
                      <w:rFonts w:ascii="Cambria Math" w:hAnsi="Cambria Math"/>
                      <w:b/>
                      <w:bCs/>
                      <w:i/>
                      <w:sz w:val="24"/>
                      <w:szCs w:val="24"/>
                    </w:rPr>
                  </m:ctrlPr>
                </m:sSubPr>
                <m:e>
                  <m:r>
                    <m:rPr>
                      <m:sty m:val="bi"/>
                    </m:rPr>
                    <w:rPr>
                      <w:rFonts w:ascii="Cambria Math" w:hAnsi="Cambria Math"/>
                      <w:sz w:val="24"/>
                      <w:szCs w:val="24"/>
                    </w:rPr>
                    <m:t>CTIACI</m:t>
                  </m:r>
                </m:e>
                <m:sub>
                  <m:r>
                    <m:rPr>
                      <m:sty m:val="bi"/>
                    </m:rPr>
                    <w:rPr>
                      <w:rFonts w:ascii="Cambria Math" w:hAnsi="Cambria Math"/>
                      <w:sz w:val="24"/>
                      <w:szCs w:val="24"/>
                    </w:rPr>
                    <m:t>t</m:t>
                  </m:r>
                </m:sub>
              </m:sSub>
              <m:r>
                <m:rPr>
                  <m:sty m:val="bi"/>
                </m:rPr>
                <w:rPr>
                  <w:rFonts w:ascii="Cambria Math" w:hAnsi="Cambria Math"/>
                  <w:sz w:val="24"/>
                  <w:szCs w:val="24"/>
                </w:rPr>
                <m:t xml:space="preserve">: </m:t>
              </m:r>
            </m:oMath>
            <w:r w:rsidR="0029788E">
              <w:rPr>
                <w:rFonts w:ascii="Arial" w:hAnsi="Arial"/>
                <w:sz w:val="20"/>
                <w:szCs w:val="20"/>
              </w:rPr>
              <w:t>Cantidad total de instalaciones de la administración central</w:t>
            </w:r>
            <w:r w:rsidR="0029788E" w:rsidRPr="00BD01E6">
              <w:rPr>
                <w:rFonts w:ascii="Arial" w:hAnsi="Arial"/>
                <w:sz w:val="20"/>
                <w:szCs w:val="20"/>
              </w:rPr>
              <w:t xml:space="preserve"> </w:t>
            </w:r>
            <w:r w:rsidR="0029788E">
              <w:rPr>
                <w:rFonts w:ascii="Arial" w:hAnsi="Arial"/>
                <w:sz w:val="20"/>
                <w:szCs w:val="20"/>
              </w:rPr>
              <w:t xml:space="preserve">de las universidades públicas que brindan el </w:t>
            </w:r>
            <w:r w:rsidR="0029788E" w:rsidRPr="00BD01E6">
              <w:rPr>
                <w:rFonts w:ascii="Arial" w:hAnsi="Arial"/>
                <w:sz w:val="20"/>
                <w:szCs w:val="20"/>
              </w:rPr>
              <w:t>Servicio</w:t>
            </w:r>
            <w:r w:rsidR="0029788E" w:rsidRPr="00BD01E6">
              <w:rPr>
                <w:rFonts w:ascii="Arial" w:hAnsi="Arial"/>
                <w:bCs/>
                <w:sz w:val="20"/>
                <w:szCs w:val="20"/>
              </w:rPr>
              <w:t xml:space="preserve"> de Gestión Institucional </w:t>
            </w:r>
            <w:r w:rsidR="0029788E">
              <w:rPr>
                <w:rFonts w:ascii="Arial" w:hAnsi="Arial"/>
                <w:bCs/>
                <w:sz w:val="20"/>
                <w:szCs w:val="20"/>
              </w:rPr>
              <w:t xml:space="preserve">en la Educación Superior Universitaria en estado situacional inadecuado </w:t>
            </w:r>
            <w:r w:rsidR="0029788E" w:rsidRPr="00904D27">
              <w:rPr>
                <w:rFonts w:ascii="Arial" w:hAnsi="Arial"/>
                <w:sz w:val="18"/>
                <w:szCs w:val="18"/>
              </w:rPr>
              <w:t>en el tiempo t.</w:t>
            </w:r>
          </w:p>
          <w:p w14:paraId="4FBEC7EF" w14:textId="77777777" w:rsidR="0029788E" w:rsidRDefault="0029788E" w:rsidP="0029788E">
            <w:pPr>
              <w:rPr>
                <w:rFonts w:ascii="Arial" w:hAnsi="Arial"/>
                <w:bCs/>
                <w:sz w:val="20"/>
                <w:szCs w:val="20"/>
              </w:rPr>
            </w:pPr>
          </w:p>
          <w:p w14:paraId="24384742" w14:textId="77777777" w:rsidR="0029788E" w:rsidRDefault="0029788E" w:rsidP="0029788E">
            <w:pPr>
              <w:rPr>
                <w:rFonts w:ascii="Arial" w:hAnsi="Arial"/>
                <w:bCs/>
                <w:sz w:val="20"/>
                <w:szCs w:val="20"/>
              </w:rPr>
            </w:pPr>
          </w:p>
          <w:p w14:paraId="3F0D5DA1" w14:textId="450F1CF0" w:rsidR="00115241" w:rsidRDefault="00115241" w:rsidP="00863D7D">
            <w:pPr>
              <w:pStyle w:val="Prrafodelista"/>
              <w:numPr>
                <w:ilvl w:val="0"/>
                <w:numId w:val="30"/>
              </w:numPr>
            </w:pPr>
            <w:r w:rsidRPr="00863D7D">
              <w:rPr>
                <w:rFonts w:ascii="Arial" w:hAnsi="Arial"/>
                <w:bCs/>
                <w:sz w:val="20"/>
                <w:szCs w:val="20"/>
              </w:rPr>
              <w:t xml:space="preserve">Metodologías para estimar el estado situacional de </w:t>
            </w:r>
            <w:r w:rsidR="00886320" w:rsidRPr="00863D7D">
              <w:rPr>
                <w:rFonts w:ascii="Arial" w:hAnsi="Arial"/>
                <w:sz w:val="20"/>
                <w:szCs w:val="20"/>
              </w:rPr>
              <w:t>instalaciones de la administración central de las universidades públicas</w:t>
            </w:r>
            <w:r w:rsidRPr="00863D7D">
              <w:rPr>
                <w:rFonts w:ascii="Arial" w:hAnsi="Arial"/>
                <w:bCs/>
                <w:sz w:val="20"/>
                <w:szCs w:val="20"/>
              </w:rPr>
              <w:t xml:space="preserve"> </w:t>
            </w:r>
            <w:r w:rsidR="0065536D" w:rsidRPr="0065536D">
              <w:rPr>
                <w:rFonts w:ascii="Arial" w:hAnsi="Arial"/>
                <w:bCs/>
                <w:sz w:val="20"/>
                <w:szCs w:val="20"/>
              </w:rPr>
              <w:t>de acuerdo con</w:t>
            </w:r>
            <w:r w:rsidRPr="00863D7D">
              <w:rPr>
                <w:rFonts w:ascii="Arial" w:hAnsi="Arial"/>
                <w:bCs/>
                <w:sz w:val="20"/>
                <w:szCs w:val="20"/>
              </w:rPr>
              <w:t xml:space="preserve"> </w:t>
            </w:r>
            <w:r w:rsidRPr="00013423">
              <w:t>la “Base de datos del estado de la infraestructura universitaria</w:t>
            </w:r>
            <w:r>
              <w:t xml:space="preserve"> según</w:t>
            </w:r>
            <w:r w:rsidRPr="00E16BD6">
              <w:t xml:space="preserve"> las </w:t>
            </w:r>
            <w:r w:rsidRPr="00744593">
              <w:t>U</w:t>
            </w:r>
            <w:r w:rsidRPr="00013423">
              <w:t>nidades Formuladoras”:</w:t>
            </w:r>
          </w:p>
          <w:p w14:paraId="321F9915" w14:textId="3294701D" w:rsidR="00115241" w:rsidRDefault="00115241" w:rsidP="00115241"/>
          <w:p w14:paraId="039DE0A8" w14:textId="5AC03185" w:rsidR="00115241" w:rsidRDefault="00115241" w:rsidP="00115241"/>
          <w:tbl>
            <w:tblPr>
              <w:tblStyle w:val="Tablaconcuadrcula"/>
              <w:tblW w:w="0" w:type="auto"/>
              <w:tblLayout w:type="fixed"/>
              <w:tblLook w:val="04A0" w:firstRow="1" w:lastRow="0" w:firstColumn="1" w:lastColumn="0" w:noHBand="0" w:noVBand="1"/>
            </w:tblPr>
            <w:tblGrid>
              <w:gridCol w:w="6684"/>
              <w:gridCol w:w="2410"/>
            </w:tblGrid>
            <w:tr w:rsidR="00115241" w14:paraId="2BD3DC99" w14:textId="77777777" w:rsidTr="00863D7D">
              <w:trPr>
                <w:trHeight w:val="252"/>
              </w:trPr>
              <w:tc>
                <w:tcPr>
                  <w:tcW w:w="6684" w:type="dxa"/>
                  <w:vAlign w:val="center"/>
                </w:tcPr>
                <w:p w14:paraId="7F207137" w14:textId="30DC5FE5" w:rsidR="00115241" w:rsidRPr="00115241" w:rsidRDefault="00115241" w:rsidP="00115241">
                  <w:pPr>
                    <w:jc w:val="center"/>
                    <w:rPr>
                      <w:rFonts w:ascii="Arial" w:hAnsi="Arial"/>
                      <w:b/>
                      <w:bCs/>
                      <w:sz w:val="20"/>
                      <w:szCs w:val="20"/>
                    </w:rPr>
                  </w:pPr>
                  <w:r w:rsidRPr="00115241">
                    <w:rPr>
                      <w:rFonts w:ascii="Arial" w:hAnsi="Arial"/>
                      <w:b/>
                      <w:bCs/>
                      <w:sz w:val="20"/>
                      <w:szCs w:val="20"/>
                    </w:rPr>
                    <w:t xml:space="preserve">Características de las </w:t>
                  </w:r>
                  <w:r w:rsidRPr="00863D7D">
                    <w:rPr>
                      <w:rFonts w:ascii="Arial" w:hAnsi="Arial"/>
                      <w:b/>
                      <w:bCs/>
                      <w:sz w:val="20"/>
                      <w:szCs w:val="20"/>
                    </w:rPr>
                    <w:t>instalaciones de la administración central</w:t>
                  </w:r>
                </w:p>
              </w:tc>
              <w:tc>
                <w:tcPr>
                  <w:tcW w:w="2410" w:type="dxa"/>
                  <w:vAlign w:val="center"/>
                </w:tcPr>
                <w:p w14:paraId="1AA44ABC" w14:textId="5FE443CA" w:rsidR="00115241" w:rsidRPr="00115241" w:rsidRDefault="00115241" w:rsidP="00115241">
                  <w:pPr>
                    <w:jc w:val="center"/>
                    <w:rPr>
                      <w:rFonts w:ascii="Arial" w:hAnsi="Arial"/>
                      <w:b/>
                      <w:bCs/>
                      <w:sz w:val="20"/>
                      <w:szCs w:val="20"/>
                    </w:rPr>
                  </w:pPr>
                  <w:r w:rsidRPr="00115241">
                    <w:rPr>
                      <w:rFonts w:ascii="Arial" w:hAnsi="Arial"/>
                      <w:b/>
                      <w:bCs/>
                      <w:sz w:val="20"/>
                      <w:szCs w:val="20"/>
                    </w:rPr>
                    <w:t>Estimación del estado situacional de las instalaciones</w:t>
                  </w:r>
                  <w:r w:rsidRPr="00863D7D">
                    <w:rPr>
                      <w:rFonts w:ascii="Arial" w:hAnsi="Arial"/>
                      <w:b/>
                      <w:bCs/>
                      <w:sz w:val="20"/>
                      <w:szCs w:val="20"/>
                    </w:rPr>
                    <w:t xml:space="preserve"> de la administración central</w:t>
                  </w:r>
                </w:p>
              </w:tc>
            </w:tr>
            <w:tr w:rsidR="00115241" w14:paraId="45ABE928" w14:textId="77777777" w:rsidTr="00863D7D">
              <w:trPr>
                <w:trHeight w:val="252"/>
              </w:trPr>
              <w:tc>
                <w:tcPr>
                  <w:tcW w:w="6684" w:type="dxa"/>
                </w:tcPr>
                <w:p w14:paraId="79C2AC4D" w14:textId="19AA39FD" w:rsidR="00115241" w:rsidRDefault="00115241" w:rsidP="00115241">
                  <w:pPr>
                    <w:jc w:val="both"/>
                    <w:rPr>
                      <w:rFonts w:ascii="Arial" w:hAnsi="Arial"/>
                      <w:sz w:val="20"/>
                      <w:szCs w:val="20"/>
                    </w:rPr>
                  </w:pPr>
                  <w:r>
                    <w:rPr>
                      <w:rFonts w:ascii="Arial" w:hAnsi="Arial"/>
                      <w:sz w:val="20"/>
                      <w:szCs w:val="20"/>
                    </w:rPr>
                    <w:t>La</w:t>
                  </w:r>
                  <w:r w:rsidR="00886320">
                    <w:rPr>
                      <w:rFonts w:ascii="Arial" w:hAnsi="Arial"/>
                      <w:sz w:val="20"/>
                      <w:szCs w:val="20"/>
                    </w:rPr>
                    <w:t>s</w:t>
                  </w:r>
                  <w:r>
                    <w:rPr>
                      <w:rFonts w:ascii="Arial" w:hAnsi="Arial"/>
                      <w:sz w:val="20"/>
                      <w:szCs w:val="20"/>
                    </w:rPr>
                    <w:t xml:space="preserve"> </w:t>
                  </w:r>
                  <w:r w:rsidR="00886320">
                    <w:rPr>
                      <w:rFonts w:ascii="Arial" w:hAnsi="Arial"/>
                      <w:sz w:val="20"/>
                      <w:szCs w:val="20"/>
                    </w:rPr>
                    <w:t xml:space="preserve">instalaciones de la administración </w:t>
                  </w:r>
                  <w:r w:rsidR="00863D7D">
                    <w:rPr>
                      <w:rFonts w:ascii="Arial" w:hAnsi="Arial"/>
                      <w:sz w:val="20"/>
                      <w:szCs w:val="20"/>
                    </w:rPr>
                    <w:t>central</w:t>
                  </w:r>
                  <w:r w:rsidR="00863D7D" w:rsidRPr="00BD01E6">
                    <w:rPr>
                      <w:rFonts w:ascii="Arial" w:hAnsi="Arial"/>
                      <w:sz w:val="20"/>
                      <w:szCs w:val="20"/>
                    </w:rPr>
                    <w:t xml:space="preserve"> </w:t>
                  </w:r>
                  <w:r w:rsidR="00863D7D">
                    <w:rPr>
                      <w:rFonts w:ascii="Arial" w:hAnsi="Arial"/>
                      <w:sz w:val="20"/>
                      <w:szCs w:val="20"/>
                    </w:rPr>
                    <w:t>no</w:t>
                  </w:r>
                  <w:r>
                    <w:rPr>
                      <w:rFonts w:ascii="Arial" w:hAnsi="Arial"/>
                      <w:sz w:val="20"/>
                      <w:szCs w:val="20"/>
                    </w:rPr>
                    <w:t xml:space="preserve"> cumple</w:t>
                  </w:r>
                  <w:r w:rsidR="00886320">
                    <w:rPr>
                      <w:rFonts w:ascii="Arial" w:hAnsi="Arial"/>
                      <w:sz w:val="20"/>
                      <w:szCs w:val="20"/>
                    </w:rPr>
                    <w:t>n</w:t>
                  </w:r>
                  <w:r>
                    <w:rPr>
                      <w:rFonts w:ascii="Arial" w:hAnsi="Arial"/>
                      <w:sz w:val="20"/>
                      <w:szCs w:val="20"/>
                    </w:rPr>
                    <w:t xml:space="preserve"> con los estándares de calidad para bri</w:t>
                  </w:r>
                  <w:r w:rsidR="00886320">
                    <w:rPr>
                      <w:rFonts w:ascii="Arial" w:hAnsi="Arial"/>
                      <w:sz w:val="20"/>
                      <w:szCs w:val="20"/>
                    </w:rPr>
                    <w:t>n</w:t>
                  </w:r>
                  <w:r>
                    <w:rPr>
                      <w:rFonts w:ascii="Arial" w:hAnsi="Arial"/>
                      <w:sz w:val="20"/>
                      <w:szCs w:val="20"/>
                    </w:rPr>
                    <w:t xml:space="preserve">dar el nivel de servicio deseado. </w:t>
                  </w:r>
                  <w:r w:rsidRPr="00115241">
                    <w:rPr>
                      <w:rFonts w:ascii="Arial" w:hAnsi="Arial"/>
                      <w:b/>
                      <w:bCs/>
                      <w:sz w:val="20"/>
                      <w:szCs w:val="20"/>
                    </w:rPr>
                    <w:t xml:space="preserve">Las características de las </w:t>
                  </w:r>
                  <w:r w:rsidRPr="00863D7D">
                    <w:rPr>
                      <w:rFonts w:ascii="Arial" w:hAnsi="Arial"/>
                      <w:b/>
                      <w:bCs/>
                      <w:sz w:val="20"/>
                      <w:szCs w:val="20"/>
                    </w:rPr>
                    <w:t xml:space="preserve">instalaciones de la administración central </w:t>
                  </w:r>
                  <w:r w:rsidRPr="00115241">
                    <w:rPr>
                      <w:rFonts w:ascii="Arial" w:hAnsi="Arial"/>
                      <w:b/>
                      <w:bCs/>
                      <w:sz w:val="20"/>
                      <w:szCs w:val="20"/>
                    </w:rPr>
                    <w:t>de las universidades púbicas para ser calificados como inadecuados son los siguientes</w:t>
                  </w:r>
                  <w:r w:rsidRPr="00863D7D">
                    <w:rPr>
                      <w:rFonts w:ascii="Arial" w:hAnsi="Arial"/>
                      <w:b/>
                      <w:bCs/>
                      <w:sz w:val="20"/>
                      <w:szCs w:val="20"/>
                    </w:rPr>
                    <w:t>:</w:t>
                  </w:r>
                </w:p>
                <w:p w14:paraId="3C58F431" w14:textId="77777777" w:rsidR="00115241" w:rsidRDefault="00115241" w:rsidP="00115241">
                  <w:pPr>
                    <w:jc w:val="both"/>
                    <w:rPr>
                      <w:rFonts w:ascii="Arial" w:hAnsi="Arial"/>
                      <w:sz w:val="20"/>
                      <w:szCs w:val="20"/>
                    </w:rPr>
                  </w:pPr>
                </w:p>
                <w:p w14:paraId="3B9CDD22" w14:textId="7C17282E" w:rsidR="00115241" w:rsidRDefault="00115241" w:rsidP="00115241">
                  <w:pPr>
                    <w:pStyle w:val="Prrafodelista"/>
                    <w:numPr>
                      <w:ilvl w:val="0"/>
                      <w:numId w:val="29"/>
                    </w:numPr>
                    <w:jc w:val="both"/>
                    <w:rPr>
                      <w:rFonts w:ascii="Arial" w:hAnsi="Arial"/>
                      <w:sz w:val="20"/>
                      <w:szCs w:val="20"/>
                    </w:rPr>
                  </w:pPr>
                  <w:r w:rsidRPr="00AA2E79">
                    <w:rPr>
                      <w:rFonts w:ascii="Arial" w:hAnsi="Arial"/>
                      <w:sz w:val="20"/>
                      <w:szCs w:val="20"/>
                    </w:rPr>
                    <w:t xml:space="preserve">La </w:t>
                  </w:r>
                  <w:r>
                    <w:rPr>
                      <w:rFonts w:ascii="Arial" w:hAnsi="Arial"/>
                      <w:sz w:val="20"/>
                      <w:szCs w:val="20"/>
                    </w:rPr>
                    <w:t xml:space="preserve">infraestructura </w:t>
                  </w:r>
                  <w:r w:rsidRPr="00AA2E79">
                    <w:rPr>
                      <w:rFonts w:ascii="Arial" w:hAnsi="Arial"/>
                      <w:sz w:val="20"/>
                      <w:szCs w:val="20"/>
                    </w:rPr>
                    <w:t>se encuentra en un local alquilado</w:t>
                  </w:r>
                  <w:r w:rsidR="0029788E">
                    <w:rPr>
                      <w:rFonts w:ascii="Arial" w:hAnsi="Arial"/>
                      <w:sz w:val="20"/>
                      <w:szCs w:val="20"/>
                    </w:rPr>
                    <w:t xml:space="preserve"> o prestado</w:t>
                  </w:r>
                  <w:r>
                    <w:rPr>
                      <w:rFonts w:ascii="Arial" w:hAnsi="Arial"/>
                      <w:sz w:val="20"/>
                      <w:szCs w:val="20"/>
                    </w:rPr>
                    <w:t>.</w:t>
                  </w:r>
                </w:p>
                <w:p w14:paraId="0BDC3952" w14:textId="7D815C6C" w:rsidR="00115241" w:rsidRDefault="00886320" w:rsidP="00115241">
                  <w:pPr>
                    <w:pStyle w:val="Prrafodelista"/>
                    <w:numPr>
                      <w:ilvl w:val="0"/>
                      <w:numId w:val="29"/>
                    </w:numPr>
                    <w:jc w:val="both"/>
                    <w:rPr>
                      <w:rFonts w:ascii="Arial" w:hAnsi="Arial"/>
                      <w:sz w:val="20"/>
                      <w:szCs w:val="20"/>
                    </w:rPr>
                  </w:pPr>
                  <w:r>
                    <w:rPr>
                      <w:rFonts w:ascii="Arial" w:hAnsi="Arial"/>
                      <w:sz w:val="20"/>
                      <w:szCs w:val="20"/>
                    </w:rPr>
                    <w:t>T</w:t>
                  </w:r>
                  <w:r w:rsidR="00115241">
                    <w:rPr>
                      <w:rFonts w:ascii="Arial" w:hAnsi="Arial"/>
                      <w:sz w:val="20"/>
                      <w:szCs w:val="20"/>
                    </w:rPr>
                    <w:t>iene asociado un proyecto de inversión activo, en formulación o ejecución.</w:t>
                  </w:r>
                </w:p>
                <w:p w14:paraId="1A8FBBB5" w14:textId="77777777" w:rsidR="00115241" w:rsidRDefault="00115241" w:rsidP="00115241">
                  <w:pPr>
                    <w:pStyle w:val="Prrafodelista"/>
                    <w:numPr>
                      <w:ilvl w:val="0"/>
                      <w:numId w:val="29"/>
                    </w:numPr>
                    <w:jc w:val="both"/>
                    <w:rPr>
                      <w:rFonts w:ascii="Arial" w:hAnsi="Arial"/>
                      <w:sz w:val="20"/>
                      <w:szCs w:val="20"/>
                    </w:rPr>
                  </w:pPr>
                  <w:r>
                    <w:rPr>
                      <w:rFonts w:ascii="Arial" w:hAnsi="Arial"/>
                      <w:sz w:val="20"/>
                      <w:szCs w:val="20"/>
                    </w:rPr>
                    <w:t xml:space="preserve">La infraestructura </w:t>
                  </w:r>
                  <w:r w:rsidRPr="00E46FF2">
                    <w:rPr>
                      <w:rFonts w:ascii="Arial" w:hAnsi="Arial"/>
                      <w:sz w:val="20"/>
                      <w:szCs w:val="20"/>
                    </w:rPr>
                    <w:t>ha sido construida sin criterio técnico y/o con materiales inadecuados (precarios)</w:t>
                  </w:r>
                  <w:r>
                    <w:rPr>
                      <w:rFonts w:ascii="Arial" w:hAnsi="Arial"/>
                      <w:sz w:val="20"/>
                      <w:szCs w:val="20"/>
                    </w:rPr>
                    <w:t>.</w:t>
                  </w:r>
                </w:p>
                <w:p w14:paraId="1720DC15" w14:textId="77777777" w:rsidR="00115241" w:rsidRDefault="00115241" w:rsidP="00115241">
                  <w:pPr>
                    <w:pStyle w:val="Prrafodelista"/>
                    <w:numPr>
                      <w:ilvl w:val="0"/>
                      <w:numId w:val="29"/>
                    </w:numPr>
                    <w:jc w:val="both"/>
                    <w:rPr>
                      <w:rFonts w:ascii="Arial" w:hAnsi="Arial"/>
                      <w:sz w:val="20"/>
                      <w:szCs w:val="20"/>
                    </w:rPr>
                  </w:pPr>
                  <w:r w:rsidRPr="00E46FF2">
                    <w:rPr>
                      <w:rFonts w:ascii="Arial" w:hAnsi="Arial"/>
                      <w:sz w:val="20"/>
                      <w:szCs w:val="20"/>
                    </w:rPr>
                    <w:t xml:space="preserve">La </w:t>
                  </w:r>
                  <w:r>
                    <w:rPr>
                      <w:rFonts w:ascii="Arial" w:hAnsi="Arial"/>
                      <w:sz w:val="20"/>
                      <w:szCs w:val="20"/>
                    </w:rPr>
                    <w:t>infraestructura</w:t>
                  </w:r>
                  <w:r w:rsidRPr="00E46FF2">
                    <w:rPr>
                      <w:rFonts w:ascii="Arial" w:hAnsi="Arial"/>
                      <w:sz w:val="20"/>
                      <w:szCs w:val="20"/>
                    </w:rPr>
                    <w:t xml:space="preserve"> tiene problemas estructurales por su antigüedad</w:t>
                  </w:r>
                  <w:r>
                    <w:rPr>
                      <w:rFonts w:ascii="Arial" w:hAnsi="Arial"/>
                      <w:sz w:val="20"/>
                      <w:szCs w:val="20"/>
                    </w:rPr>
                    <w:t>.</w:t>
                  </w:r>
                </w:p>
                <w:p w14:paraId="62A7D67C" w14:textId="66C38C73" w:rsidR="00115241" w:rsidRDefault="00115241" w:rsidP="00115241">
                  <w:pPr>
                    <w:pStyle w:val="Prrafodelista"/>
                    <w:numPr>
                      <w:ilvl w:val="0"/>
                      <w:numId w:val="29"/>
                    </w:numPr>
                    <w:jc w:val="both"/>
                    <w:rPr>
                      <w:rFonts w:ascii="Arial" w:hAnsi="Arial"/>
                      <w:sz w:val="20"/>
                      <w:szCs w:val="20"/>
                    </w:rPr>
                  </w:pPr>
                  <w:r>
                    <w:rPr>
                      <w:rFonts w:ascii="Arial" w:hAnsi="Arial"/>
                      <w:sz w:val="20"/>
                      <w:szCs w:val="20"/>
                    </w:rPr>
                    <w:t>La infraestructura t</w:t>
                  </w:r>
                  <w:r w:rsidRPr="00E46FF2">
                    <w:rPr>
                      <w:rFonts w:ascii="Arial" w:hAnsi="Arial"/>
                      <w:sz w:val="20"/>
                      <w:szCs w:val="20"/>
                    </w:rPr>
                    <w:t xml:space="preserve">iene Informe de riesgo de colapso o presenta Fallas estructurales importantes (asentamientos, rajaduras, </w:t>
                  </w:r>
                  <w:r w:rsidR="00886320" w:rsidRPr="00E46FF2">
                    <w:rPr>
                      <w:rFonts w:ascii="Arial" w:hAnsi="Arial"/>
                      <w:sz w:val="20"/>
                      <w:szCs w:val="20"/>
                    </w:rPr>
                    <w:t>etc.</w:t>
                  </w:r>
                  <w:r w:rsidRPr="00E46FF2">
                    <w:rPr>
                      <w:rFonts w:ascii="Arial" w:hAnsi="Arial"/>
                      <w:sz w:val="20"/>
                      <w:szCs w:val="20"/>
                    </w:rPr>
                    <w:t>)</w:t>
                  </w:r>
                  <w:r>
                    <w:rPr>
                      <w:rFonts w:ascii="Arial" w:hAnsi="Arial"/>
                      <w:sz w:val="20"/>
                      <w:szCs w:val="20"/>
                    </w:rPr>
                    <w:t>.</w:t>
                  </w:r>
                </w:p>
                <w:p w14:paraId="5BDC507A" w14:textId="76F0034C" w:rsidR="00115241" w:rsidRDefault="00115241" w:rsidP="00115241">
                  <w:pPr>
                    <w:pStyle w:val="Prrafodelista"/>
                    <w:numPr>
                      <w:ilvl w:val="0"/>
                      <w:numId w:val="29"/>
                    </w:numPr>
                    <w:jc w:val="both"/>
                    <w:rPr>
                      <w:rFonts w:ascii="Arial" w:hAnsi="Arial"/>
                      <w:sz w:val="20"/>
                      <w:szCs w:val="20"/>
                    </w:rPr>
                  </w:pPr>
                  <w:r w:rsidRPr="00E46FF2">
                    <w:rPr>
                      <w:rFonts w:ascii="Arial" w:hAnsi="Arial"/>
                      <w:sz w:val="20"/>
                      <w:szCs w:val="20"/>
                    </w:rPr>
                    <w:t xml:space="preserve">La </w:t>
                  </w:r>
                  <w:r>
                    <w:rPr>
                      <w:rFonts w:ascii="Arial" w:hAnsi="Arial"/>
                      <w:sz w:val="20"/>
                      <w:szCs w:val="20"/>
                    </w:rPr>
                    <w:t xml:space="preserve">infraestructura en su </w:t>
                  </w:r>
                  <w:r w:rsidRPr="00E46FF2">
                    <w:rPr>
                      <w:rFonts w:ascii="Arial" w:hAnsi="Arial"/>
                      <w:sz w:val="20"/>
                      <w:szCs w:val="20"/>
                    </w:rPr>
                    <w:t>mayoría</w:t>
                  </w:r>
                  <w:r>
                    <w:rPr>
                      <w:rFonts w:ascii="Arial" w:hAnsi="Arial"/>
                      <w:sz w:val="20"/>
                      <w:szCs w:val="20"/>
                    </w:rPr>
                    <w:t xml:space="preserve"> tiene problemas</w:t>
                  </w:r>
                  <w:r w:rsidRPr="00E46FF2">
                    <w:rPr>
                      <w:rFonts w:ascii="Arial" w:hAnsi="Arial"/>
                      <w:sz w:val="20"/>
                      <w:szCs w:val="20"/>
                    </w:rPr>
                    <w:t xml:space="preserve"> no estructurales (muros</w:t>
                  </w:r>
                  <w:r w:rsidR="00A24B96">
                    <w:rPr>
                      <w:rFonts w:ascii="Arial" w:hAnsi="Arial"/>
                      <w:sz w:val="20"/>
                      <w:szCs w:val="20"/>
                    </w:rPr>
                    <w:t xml:space="preserve"> de tabiques</w:t>
                  </w:r>
                  <w:r w:rsidRPr="00E46FF2">
                    <w:rPr>
                      <w:rFonts w:ascii="Arial" w:hAnsi="Arial"/>
                      <w:sz w:val="20"/>
                      <w:szCs w:val="20"/>
                    </w:rPr>
                    <w:t xml:space="preserve">, pisos, puertas, ventanas, </w:t>
                  </w:r>
                  <w:r w:rsidR="00886320" w:rsidRPr="00E46FF2">
                    <w:rPr>
                      <w:rFonts w:ascii="Arial" w:hAnsi="Arial"/>
                      <w:sz w:val="20"/>
                      <w:szCs w:val="20"/>
                    </w:rPr>
                    <w:t>etc.</w:t>
                  </w:r>
                  <w:r w:rsidRPr="00E46FF2">
                    <w:rPr>
                      <w:rFonts w:ascii="Arial" w:hAnsi="Arial"/>
                      <w:sz w:val="20"/>
                      <w:szCs w:val="20"/>
                    </w:rPr>
                    <w:t>) están en mal estado y requieren ser reemplazados y no pueden ser atendidos por mantenimiento</w:t>
                  </w:r>
                  <w:r>
                    <w:rPr>
                      <w:rFonts w:ascii="Arial" w:hAnsi="Arial"/>
                      <w:sz w:val="20"/>
                      <w:szCs w:val="20"/>
                    </w:rPr>
                    <w:t>.</w:t>
                  </w:r>
                </w:p>
                <w:p w14:paraId="2E0834B5" w14:textId="77777777" w:rsidR="00115241" w:rsidRDefault="00115241" w:rsidP="00115241">
                  <w:pPr>
                    <w:pStyle w:val="Prrafodelista"/>
                    <w:numPr>
                      <w:ilvl w:val="0"/>
                      <w:numId w:val="29"/>
                    </w:numPr>
                    <w:jc w:val="both"/>
                    <w:rPr>
                      <w:rFonts w:ascii="Arial" w:hAnsi="Arial"/>
                      <w:sz w:val="20"/>
                      <w:szCs w:val="20"/>
                    </w:rPr>
                  </w:pPr>
                  <w:r>
                    <w:rPr>
                      <w:rFonts w:ascii="Arial" w:hAnsi="Arial"/>
                      <w:sz w:val="20"/>
                      <w:szCs w:val="20"/>
                    </w:rPr>
                    <w:t>La infraestructura en su</w:t>
                  </w:r>
                  <w:r w:rsidRPr="00E46FF2">
                    <w:rPr>
                      <w:rFonts w:ascii="Arial" w:hAnsi="Arial"/>
                      <w:sz w:val="20"/>
                      <w:szCs w:val="20"/>
                    </w:rPr>
                    <w:t xml:space="preserve"> mayoría de los ambientes tiene problemas de hacinamiento (áreas insuficientes para una determinada cantidad de personas)</w:t>
                  </w:r>
                  <w:r>
                    <w:rPr>
                      <w:rFonts w:ascii="Arial" w:hAnsi="Arial"/>
                      <w:sz w:val="20"/>
                      <w:szCs w:val="20"/>
                    </w:rPr>
                    <w:t>.</w:t>
                  </w:r>
                </w:p>
                <w:p w14:paraId="0BDADC2C" w14:textId="70BB6D8C" w:rsidR="00115241" w:rsidRDefault="00115241" w:rsidP="00115241">
                  <w:pPr>
                    <w:pStyle w:val="Prrafodelista"/>
                    <w:numPr>
                      <w:ilvl w:val="0"/>
                      <w:numId w:val="29"/>
                    </w:numPr>
                    <w:jc w:val="both"/>
                    <w:rPr>
                      <w:rFonts w:ascii="Arial" w:hAnsi="Arial"/>
                      <w:sz w:val="20"/>
                      <w:szCs w:val="20"/>
                    </w:rPr>
                  </w:pPr>
                  <w:r>
                    <w:rPr>
                      <w:rFonts w:ascii="Arial" w:hAnsi="Arial"/>
                      <w:sz w:val="20"/>
                      <w:szCs w:val="20"/>
                    </w:rPr>
                    <w:t>La infraestructura en su</w:t>
                  </w:r>
                  <w:r w:rsidRPr="00D02058">
                    <w:rPr>
                      <w:rFonts w:ascii="Arial" w:hAnsi="Arial"/>
                      <w:sz w:val="20"/>
                      <w:szCs w:val="20"/>
                    </w:rPr>
                    <w:t xml:space="preserve"> mayoría de los ambientes </w:t>
                  </w:r>
                  <w:r>
                    <w:rPr>
                      <w:rFonts w:ascii="Arial" w:hAnsi="Arial"/>
                      <w:sz w:val="20"/>
                      <w:szCs w:val="20"/>
                    </w:rPr>
                    <w:t xml:space="preserve">no </w:t>
                  </w:r>
                  <w:r w:rsidRPr="00D02058">
                    <w:rPr>
                      <w:rFonts w:ascii="Arial" w:hAnsi="Arial"/>
                      <w:sz w:val="20"/>
                      <w:szCs w:val="20"/>
                    </w:rPr>
                    <w:t>tiene confort (iluminación, ventilación,</w:t>
                  </w:r>
                  <w:r>
                    <w:rPr>
                      <w:rFonts w:ascii="Arial" w:hAnsi="Arial"/>
                      <w:sz w:val="20"/>
                      <w:szCs w:val="20"/>
                    </w:rPr>
                    <w:t xml:space="preserve"> </w:t>
                  </w:r>
                  <w:r w:rsidR="00886320" w:rsidRPr="00D02058">
                    <w:rPr>
                      <w:rFonts w:ascii="Arial" w:hAnsi="Arial"/>
                      <w:sz w:val="20"/>
                      <w:szCs w:val="20"/>
                    </w:rPr>
                    <w:t>etc.</w:t>
                  </w:r>
                  <w:r w:rsidRPr="00D02058">
                    <w:rPr>
                      <w:rFonts w:ascii="Arial" w:hAnsi="Arial"/>
                      <w:sz w:val="20"/>
                      <w:szCs w:val="20"/>
                    </w:rPr>
                    <w:t>)</w:t>
                  </w:r>
                  <w:r>
                    <w:rPr>
                      <w:rFonts w:ascii="Arial" w:hAnsi="Arial"/>
                      <w:sz w:val="20"/>
                      <w:szCs w:val="20"/>
                    </w:rPr>
                    <w:t>,</w:t>
                  </w:r>
                  <w:r w:rsidRPr="00D02058">
                    <w:rPr>
                      <w:rFonts w:ascii="Arial" w:hAnsi="Arial"/>
                      <w:sz w:val="20"/>
                      <w:szCs w:val="20"/>
                    </w:rPr>
                    <w:t xml:space="preserve"> no pueden ser atendidos por mantenimiento</w:t>
                  </w:r>
                  <w:r>
                    <w:rPr>
                      <w:rFonts w:ascii="Arial" w:hAnsi="Arial"/>
                      <w:sz w:val="20"/>
                      <w:szCs w:val="20"/>
                    </w:rPr>
                    <w:t>.</w:t>
                  </w:r>
                </w:p>
                <w:p w14:paraId="663D4459" w14:textId="77777777" w:rsidR="00115241" w:rsidRDefault="00115241" w:rsidP="00115241">
                  <w:pPr>
                    <w:pStyle w:val="Prrafodelista"/>
                    <w:numPr>
                      <w:ilvl w:val="0"/>
                      <w:numId w:val="29"/>
                    </w:numPr>
                    <w:jc w:val="both"/>
                    <w:rPr>
                      <w:rFonts w:ascii="Arial" w:hAnsi="Arial"/>
                      <w:sz w:val="20"/>
                      <w:szCs w:val="20"/>
                    </w:rPr>
                  </w:pPr>
                  <w:r>
                    <w:rPr>
                      <w:rFonts w:ascii="Arial" w:hAnsi="Arial"/>
                      <w:sz w:val="20"/>
                      <w:szCs w:val="20"/>
                    </w:rPr>
                    <w:t>La infraestructura p</w:t>
                  </w:r>
                  <w:r w:rsidRPr="00D02058">
                    <w:rPr>
                      <w:rFonts w:ascii="Arial" w:hAnsi="Arial"/>
                      <w:sz w:val="20"/>
                      <w:szCs w:val="20"/>
                    </w:rPr>
                    <w:t>resenta fallas en las instalaciones eléctricas</w:t>
                  </w:r>
                  <w:r>
                    <w:rPr>
                      <w:rFonts w:ascii="Arial" w:hAnsi="Arial"/>
                      <w:sz w:val="20"/>
                      <w:szCs w:val="20"/>
                    </w:rPr>
                    <w:t xml:space="preserve">, </w:t>
                  </w:r>
                  <w:r w:rsidRPr="00D02058">
                    <w:rPr>
                      <w:rFonts w:ascii="Arial" w:hAnsi="Arial"/>
                      <w:sz w:val="20"/>
                      <w:szCs w:val="20"/>
                    </w:rPr>
                    <w:t>sanitarias</w:t>
                  </w:r>
                  <w:r>
                    <w:rPr>
                      <w:rFonts w:ascii="Arial" w:hAnsi="Arial"/>
                      <w:sz w:val="20"/>
                      <w:szCs w:val="20"/>
                    </w:rPr>
                    <w:t xml:space="preserve">, </w:t>
                  </w:r>
                  <w:r w:rsidRPr="00D02058">
                    <w:rPr>
                      <w:rFonts w:ascii="Arial" w:hAnsi="Arial"/>
                      <w:sz w:val="20"/>
                      <w:szCs w:val="20"/>
                    </w:rPr>
                    <w:t>electromecánica, que no pueden ser atendidos por mantenimiento</w:t>
                  </w:r>
                  <w:r>
                    <w:rPr>
                      <w:rFonts w:ascii="Arial" w:hAnsi="Arial"/>
                      <w:sz w:val="20"/>
                      <w:szCs w:val="20"/>
                    </w:rPr>
                    <w:t xml:space="preserve">. </w:t>
                  </w:r>
                  <w:r w:rsidRPr="00E46FF2">
                    <w:rPr>
                      <w:rFonts w:ascii="Arial" w:hAnsi="Arial"/>
                      <w:sz w:val="20"/>
                      <w:szCs w:val="20"/>
                    </w:rPr>
                    <w:t>reemplazados y no pueden ser atendidos por mantenimiento</w:t>
                  </w:r>
                  <w:r>
                    <w:rPr>
                      <w:rFonts w:ascii="Arial" w:hAnsi="Arial"/>
                      <w:sz w:val="20"/>
                      <w:szCs w:val="20"/>
                    </w:rPr>
                    <w:t>.</w:t>
                  </w:r>
                </w:p>
                <w:p w14:paraId="5773E54B" w14:textId="77777777" w:rsidR="00115241" w:rsidRDefault="00115241" w:rsidP="00115241">
                  <w:pPr>
                    <w:jc w:val="both"/>
                    <w:rPr>
                      <w:rFonts w:ascii="Arial" w:hAnsi="Arial"/>
                      <w:sz w:val="20"/>
                      <w:szCs w:val="20"/>
                    </w:rPr>
                  </w:pPr>
                </w:p>
                <w:p w14:paraId="14305BB8" w14:textId="61668646" w:rsidR="00115241" w:rsidRPr="00AA2E79" w:rsidRDefault="00115241" w:rsidP="00115241">
                  <w:pPr>
                    <w:jc w:val="both"/>
                    <w:rPr>
                      <w:rFonts w:ascii="Arial" w:hAnsi="Arial"/>
                      <w:sz w:val="20"/>
                      <w:szCs w:val="20"/>
                    </w:rPr>
                  </w:pPr>
                  <w:r>
                    <w:rPr>
                      <w:rFonts w:ascii="Arial" w:hAnsi="Arial"/>
                      <w:sz w:val="20"/>
                      <w:szCs w:val="20"/>
                    </w:rPr>
                    <w:t xml:space="preserve">Si una instalación de la administración central </w:t>
                  </w:r>
                  <w:r w:rsidR="00886320">
                    <w:rPr>
                      <w:rFonts w:ascii="Arial" w:hAnsi="Arial"/>
                      <w:sz w:val="20"/>
                      <w:szCs w:val="20"/>
                    </w:rPr>
                    <w:t>presenta al menos una de las características señaladas será considerada en estado situacional inadecuado</w:t>
                  </w:r>
                </w:p>
                <w:p w14:paraId="2689007F" w14:textId="77777777" w:rsidR="00115241" w:rsidRDefault="00115241" w:rsidP="00115241">
                  <w:pPr>
                    <w:pStyle w:val="Prrafodelista"/>
                    <w:jc w:val="both"/>
                    <w:rPr>
                      <w:rFonts w:ascii="Arial" w:hAnsi="Arial"/>
                      <w:sz w:val="20"/>
                      <w:szCs w:val="20"/>
                    </w:rPr>
                  </w:pPr>
                </w:p>
                <w:p w14:paraId="1E3B63C8" w14:textId="77777777" w:rsidR="001E1DCD" w:rsidRPr="00AA2E79" w:rsidRDefault="001E1DCD" w:rsidP="00115241">
                  <w:pPr>
                    <w:pStyle w:val="Prrafodelista"/>
                    <w:jc w:val="both"/>
                    <w:rPr>
                      <w:rFonts w:ascii="Arial" w:hAnsi="Arial"/>
                      <w:sz w:val="20"/>
                      <w:szCs w:val="20"/>
                    </w:rPr>
                  </w:pPr>
                </w:p>
              </w:tc>
              <w:tc>
                <w:tcPr>
                  <w:tcW w:w="2410" w:type="dxa"/>
                  <w:vAlign w:val="center"/>
                </w:tcPr>
                <w:p w14:paraId="676FC380" w14:textId="77777777" w:rsidR="00115241" w:rsidRDefault="00115241" w:rsidP="00115241">
                  <w:pPr>
                    <w:jc w:val="center"/>
                    <w:rPr>
                      <w:rFonts w:ascii="Arial" w:hAnsi="Arial"/>
                      <w:sz w:val="20"/>
                      <w:szCs w:val="20"/>
                    </w:rPr>
                  </w:pPr>
                  <w:r>
                    <w:rPr>
                      <w:rFonts w:ascii="Arial" w:hAnsi="Arial"/>
                      <w:sz w:val="20"/>
                      <w:szCs w:val="20"/>
                    </w:rPr>
                    <w:t>Inadecuado</w:t>
                  </w:r>
                </w:p>
              </w:tc>
            </w:tr>
            <w:tr w:rsidR="00115241" w14:paraId="4B2FDB10" w14:textId="77777777" w:rsidTr="00863D7D">
              <w:trPr>
                <w:trHeight w:val="252"/>
              </w:trPr>
              <w:tc>
                <w:tcPr>
                  <w:tcW w:w="6684" w:type="dxa"/>
                </w:tcPr>
                <w:p w14:paraId="6F1C6D55" w14:textId="6E6AAB7C" w:rsidR="00115241" w:rsidRDefault="00115241" w:rsidP="00115241">
                  <w:pPr>
                    <w:jc w:val="both"/>
                    <w:rPr>
                      <w:rFonts w:ascii="Arial" w:hAnsi="Arial"/>
                      <w:sz w:val="20"/>
                      <w:szCs w:val="20"/>
                    </w:rPr>
                  </w:pPr>
                  <w:r>
                    <w:rPr>
                      <w:rFonts w:ascii="Arial" w:hAnsi="Arial"/>
                      <w:sz w:val="20"/>
                      <w:szCs w:val="20"/>
                    </w:rPr>
                    <w:lastRenderedPageBreak/>
                    <w:t>La instalación de la administración central cumple con los estándares de calidad para bridar el nivel de servicio deseado.</w:t>
                  </w:r>
                </w:p>
                <w:p w14:paraId="309B52DC" w14:textId="77777777" w:rsidR="00115241" w:rsidRDefault="00115241" w:rsidP="00115241">
                  <w:pPr>
                    <w:jc w:val="both"/>
                    <w:rPr>
                      <w:rFonts w:ascii="Arial" w:hAnsi="Arial"/>
                      <w:sz w:val="20"/>
                      <w:szCs w:val="20"/>
                    </w:rPr>
                  </w:pPr>
                </w:p>
              </w:tc>
              <w:tc>
                <w:tcPr>
                  <w:tcW w:w="2410" w:type="dxa"/>
                  <w:vAlign w:val="center"/>
                </w:tcPr>
                <w:p w14:paraId="51C69ADC" w14:textId="77777777" w:rsidR="00115241" w:rsidRDefault="00115241" w:rsidP="00115241">
                  <w:pPr>
                    <w:jc w:val="center"/>
                    <w:rPr>
                      <w:rFonts w:ascii="Arial" w:hAnsi="Arial"/>
                      <w:sz w:val="20"/>
                      <w:szCs w:val="20"/>
                    </w:rPr>
                  </w:pPr>
                  <w:r>
                    <w:rPr>
                      <w:rFonts w:ascii="Arial" w:hAnsi="Arial"/>
                      <w:sz w:val="20"/>
                      <w:szCs w:val="20"/>
                    </w:rPr>
                    <w:t>Adecuado</w:t>
                  </w:r>
                </w:p>
              </w:tc>
            </w:tr>
          </w:tbl>
          <w:p w14:paraId="785BAF9F" w14:textId="307B5ED3" w:rsidR="002C6B38" w:rsidRPr="00BD01E6" w:rsidRDefault="002C6B38" w:rsidP="002C6B38">
            <w:pPr>
              <w:rPr>
                <w:rFonts w:ascii="Arial" w:hAnsi="Arial" w:cs="Arial"/>
                <w:sz w:val="18"/>
                <w:szCs w:val="20"/>
              </w:rPr>
            </w:pPr>
          </w:p>
        </w:tc>
      </w:tr>
      <w:tr w:rsidR="00BD01E6" w:rsidRPr="00BD01E6" w14:paraId="49E55D8F"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39A6AA70" w14:textId="0F9AF34E" w:rsidR="002C6B38" w:rsidRPr="00BD01E6" w:rsidRDefault="002C6B38" w:rsidP="002C6B38">
            <w:pPr>
              <w:rPr>
                <w:rFonts w:ascii="Arial" w:hAnsi="Arial" w:cs="Arial"/>
                <w:sz w:val="18"/>
                <w:szCs w:val="20"/>
              </w:rPr>
            </w:pPr>
            <w:r w:rsidRPr="00BD01E6">
              <w:rPr>
                <w:rFonts w:ascii="Arial" w:hAnsi="Arial" w:cs="Arial"/>
                <w:b/>
                <w:bCs/>
                <w:szCs w:val="20"/>
              </w:rPr>
              <w:lastRenderedPageBreak/>
              <w:t>Supuestos</w:t>
            </w:r>
          </w:p>
        </w:tc>
      </w:tr>
      <w:tr w:rsidR="00BD01E6" w:rsidRPr="00BD01E6" w14:paraId="0A28DBD7"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11ED68A4" w14:textId="77777777" w:rsidR="00115241" w:rsidRDefault="00115241" w:rsidP="00863D7D">
            <w:pPr>
              <w:pStyle w:val="Prrafodelista"/>
              <w:autoSpaceDE w:val="0"/>
              <w:autoSpaceDN w:val="0"/>
              <w:jc w:val="both"/>
              <w:rPr>
                <w:rFonts w:ascii="Arial" w:hAnsi="Arial"/>
                <w:sz w:val="20"/>
                <w:szCs w:val="20"/>
              </w:rPr>
            </w:pPr>
          </w:p>
          <w:p w14:paraId="1590BB27" w14:textId="1005616E" w:rsidR="00115241" w:rsidRDefault="00115241" w:rsidP="00115241">
            <w:pPr>
              <w:pStyle w:val="Prrafodelista"/>
              <w:numPr>
                <w:ilvl w:val="0"/>
                <w:numId w:val="7"/>
              </w:numPr>
              <w:autoSpaceDE w:val="0"/>
              <w:autoSpaceDN w:val="0"/>
              <w:jc w:val="both"/>
              <w:rPr>
                <w:rFonts w:ascii="Arial" w:hAnsi="Arial"/>
                <w:sz w:val="20"/>
                <w:szCs w:val="20"/>
              </w:rPr>
            </w:pPr>
            <w:r>
              <w:rPr>
                <w:rFonts w:ascii="Arial" w:hAnsi="Arial"/>
                <w:sz w:val="20"/>
                <w:szCs w:val="20"/>
              </w:rPr>
              <w:t xml:space="preserve">El equipo técnico de la Unidad Formuladora </w:t>
            </w:r>
            <w:r w:rsidR="0016635C">
              <w:rPr>
                <w:rFonts w:ascii="Arial" w:hAnsi="Arial"/>
                <w:sz w:val="20"/>
                <w:szCs w:val="20"/>
              </w:rPr>
              <w:t xml:space="preserve">(UF) </w:t>
            </w:r>
            <w:r>
              <w:rPr>
                <w:rFonts w:ascii="Arial" w:hAnsi="Arial"/>
                <w:sz w:val="20"/>
                <w:szCs w:val="20"/>
              </w:rPr>
              <w:t xml:space="preserve">que realiza la inspección </w:t>
            </w:r>
            <w:r w:rsidR="00073DB8">
              <w:rPr>
                <w:rFonts w:ascii="Arial" w:hAnsi="Arial"/>
                <w:sz w:val="20"/>
                <w:szCs w:val="20"/>
              </w:rPr>
              <w:t>visual</w:t>
            </w:r>
            <w:r>
              <w:rPr>
                <w:rFonts w:ascii="Arial" w:hAnsi="Arial"/>
                <w:sz w:val="20"/>
                <w:szCs w:val="20"/>
              </w:rPr>
              <w:t xml:space="preserve"> y registra la información asociada a la identificación y determinación del estado situacional de la infraestructura educativa cuenta con las competencias y habilidades necesarias para realizar el operativo de levantamiento de información en las universidades.</w:t>
            </w:r>
          </w:p>
          <w:p w14:paraId="6C687758" w14:textId="3977647F" w:rsidR="00115241" w:rsidRDefault="00115241" w:rsidP="00115241">
            <w:pPr>
              <w:pStyle w:val="Prrafodelista"/>
              <w:numPr>
                <w:ilvl w:val="0"/>
                <w:numId w:val="7"/>
              </w:numPr>
              <w:autoSpaceDE w:val="0"/>
              <w:autoSpaceDN w:val="0"/>
              <w:jc w:val="both"/>
              <w:rPr>
                <w:rFonts w:ascii="Arial" w:hAnsi="Arial"/>
                <w:sz w:val="20"/>
                <w:szCs w:val="20"/>
              </w:rPr>
            </w:pPr>
            <w:r>
              <w:rPr>
                <w:rFonts w:ascii="Arial" w:hAnsi="Arial"/>
                <w:sz w:val="20"/>
                <w:szCs w:val="20"/>
              </w:rPr>
              <w:t xml:space="preserve">Las </w:t>
            </w:r>
            <w:r w:rsidR="0016635C">
              <w:rPr>
                <w:rFonts w:ascii="Arial" w:hAnsi="Arial"/>
                <w:sz w:val="20"/>
                <w:szCs w:val="20"/>
              </w:rPr>
              <w:t>UF</w:t>
            </w:r>
            <w:r>
              <w:rPr>
                <w:rFonts w:ascii="Arial" w:hAnsi="Arial"/>
                <w:sz w:val="20"/>
                <w:szCs w:val="20"/>
              </w:rPr>
              <w:t xml:space="preserve"> no tienen incentivos para declarar que una infraestructura se encuentra en condiciones inadecuadas con el objetivo de tener mayor presupuesto para el cierre de sus brechas.</w:t>
            </w:r>
          </w:p>
          <w:p w14:paraId="7EB7634D" w14:textId="0E0F8868" w:rsidR="00115241" w:rsidRPr="008F73FA" w:rsidRDefault="00115241" w:rsidP="00115241">
            <w:pPr>
              <w:pStyle w:val="Prrafodelista"/>
              <w:numPr>
                <w:ilvl w:val="0"/>
                <w:numId w:val="7"/>
              </w:numPr>
              <w:autoSpaceDE w:val="0"/>
              <w:autoSpaceDN w:val="0"/>
              <w:jc w:val="both"/>
              <w:rPr>
                <w:rFonts w:ascii="Arial" w:hAnsi="Arial"/>
                <w:sz w:val="20"/>
                <w:szCs w:val="20"/>
              </w:rPr>
            </w:pPr>
            <w:r>
              <w:rPr>
                <w:rFonts w:ascii="Arial" w:hAnsi="Arial"/>
                <w:sz w:val="20"/>
                <w:szCs w:val="20"/>
              </w:rPr>
              <w:t xml:space="preserve">Todas las universidades públicas a través de las </w:t>
            </w:r>
            <w:r w:rsidR="0016635C">
              <w:rPr>
                <w:rFonts w:ascii="Arial" w:hAnsi="Arial"/>
                <w:sz w:val="20"/>
                <w:szCs w:val="20"/>
              </w:rPr>
              <w:t>UF</w:t>
            </w:r>
            <w:r>
              <w:rPr>
                <w:rFonts w:ascii="Arial" w:hAnsi="Arial"/>
                <w:sz w:val="20"/>
                <w:szCs w:val="20"/>
              </w:rPr>
              <w:t xml:space="preserve"> que se encuentren registradas en el Banco de Inversiones, remiten todos los años dentro del plazo establecido por la Oficina de Programación Multianual de Inversiones la información asociada a la identificación y determinación del estado situacional para que esta, la consolide y elabor</w:t>
            </w:r>
            <w:r w:rsidR="00886320">
              <w:rPr>
                <w:rFonts w:ascii="Arial" w:hAnsi="Arial"/>
                <w:sz w:val="20"/>
                <w:szCs w:val="20"/>
              </w:rPr>
              <w:t>e</w:t>
            </w:r>
            <w:r>
              <w:rPr>
                <w:rFonts w:ascii="Arial" w:hAnsi="Arial"/>
                <w:sz w:val="20"/>
                <w:szCs w:val="20"/>
              </w:rPr>
              <w:t xml:space="preserve"> la “</w:t>
            </w:r>
            <w:r w:rsidRPr="00F637C9">
              <w:rPr>
                <w:rFonts w:ascii="Arial" w:hAnsi="Arial"/>
                <w:sz w:val="20"/>
                <w:szCs w:val="20"/>
              </w:rPr>
              <w:t xml:space="preserve">Base de </w:t>
            </w:r>
            <w:r>
              <w:rPr>
                <w:rFonts w:ascii="Arial" w:hAnsi="Arial"/>
                <w:sz w:val="20"/>
                <w:szCs w:val="20"/>
              </w:rPr>
              <w:t>d</w:t>
            </w:r>
            <w:r w:rsidRPr="00F637C9">
              <w:rPr>
                <w:rFonts w:ascii="Arial" w:hAnsi="Arial"/>
                <w:sz w:val="20"/>
                <w:szCs w:val="20"/>
              </w:rPr>
              <w:t>atos</w:t>
            </w:r>
            <w:r>
              <w:rPr>
                <w:rFonts w:ascii="Arial" w:hAnsi="Arial"/>
                <w:sz w:val="20"/>
                <w:szCs w:val="20"/>
              </w:rPr>
              <w:t xml:space="preserve"> </w:t>
            </w:r>
            <w:r w:rsidRPr="00F637C9">
              <w:rPr>
                <w:rFonts w:ascii="Arial" w:hAnsi="Arial"/>
                <w:sz w:val="20"/>
                <w:szCs w:val="20"/>
              </w:rPr>
              <w:t xml:space="preserve">del </w:t>
            </w:r>
            <w:r>
              <w:rPr>
                <w:rFonts w:ascii="Arial" w:hAnsi="Arial"/>
                <w:sz w:val="20"/>
                <w:szCs w:val="20"/>
              </w:rPr>
              <w:t>e</w:t>
            </w:r>
            <w:r w:rsidRPr="00F637C9">
              <w:rPr>
                <w:rFonts w:ascii="Arial" w:hAnsi="Arial"/>
                <w:sz w:val="20"/>
                <w:szCs w:val="20"/>
              </w:rPr>
              <w:t>stado</w:t>
            </w:r>
            <w:r>
              <w:rPr>
                <w:rFonts w:ascii="Arial" w:hAnsi="Arial"/>
                <w:sz w:val="20"/>
                <w:szCs w:val="20"/>
              </w:rPr>
              <w:t xml:space="preserve"> de la infraestructura universitaria según las Unidades Formuladoras”.</w:t>
            </w:r>
          </w:p>
          <w:p w14:paraId="53FF7498" w14:textId="64B6F214" w:rsidR="002C6B38" w:rsidRPr="00BD01E6" w:rsidRDefault="002C6B38" w:rsidP="002C6B38">
            <w:pPr>
              <w:rPr>
                <w:rFonts w:ascii="Arial" w:hAnsi="Arial" w:cs="Arial"/>
                <w:sz w:val="18"/>
                <w:szCs w:val="20"/>
              </w:rPr>
            </w:pPr>
          </w:p>
        </w:tc>
      </w:tr>
      <w:tr w:rsidR="00BD01E6" w:rsidRPr="00BD01E6" w14:paraId="12E7D33B"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663B7AED" w14:textId="6B15EA09" w:rsidR="002C6B38" w:rsidRPr="00BD01E6" w:rsidRDefault="00A6796B" w:rsidP="00A6796B">
            <w:pPr>
              <w:rPr>
                <w:rFonts w:ascii="Arial" w:hAnsi="Arial" w:cs="Arial"/>
                <w:sz w:val="18"/>
                <w:szCs w:val="20"/>
              </w:rPr>
            </w:pPr>
            <w:r w:rsidRPr="00BD01E6">
              <w:rPr>
                <w:rFonts w:ascii="Arial" w:hAnsi="Arial" w:cs="Arial"/>
                <w:b/>
                <w:bCs/>
                <w:szCs w:val="20"/>
              </w:rPr>
              <w:t>Limitaciones</w:t>
            </w:r>
          </w:p>
        </w:tc>
      </w:tr>
      <w:tr w:rsidR="00BD01E6" w:rsidRPr="00BD01E6" w14:paraId="0A5EBACB"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332FD1E0" w14:textId="77777777" w:rsidR="00115241" w:rsidRDefault="00115241" w:rsidP="00863D7D">
            <w:pPr>
              <w:pStyle w:val="Prrafodelista"/>
              <w:autoSpaceDE w:val="0"/>
              <w:autoSpaceDN w:val="0"/>
              <w:jc w:val="both"/>
              <w:rPr>
                <w:rFonts w:ascii="Arial" w:hAnsi="Arial"/>
                <w:sz w:val="20"/>
                <w:szCs w:val="20"/>
              </w:rPr>
            </w:pPr>
          </w:p>
          <w:p w14:paraId="56DA9DE1" w14:textId="7EFC615B" w:rsidR="00115241" w:rsidRDefault="00115241" w:rsidP="00115241">
            <w:pPr>
              <w:pStyle w:val="Prrafodelista"/>
              <w:numPr>
                <w:ilvl w:val="0"/>
                <w:numId w:val="7"/>
              </w:numPr>
              <w:autoSpaceDE w:val="0"/>
              <w:autoSpaceDN w:val="0"/>
              <w:jc w:val="both"/>
              <w:rPr>
                <w:rFonts w:ascii="Arial" w:hAnsi="Arial"/>
                <w:sz w:val="20"/>
                <w:szCs w:val="20"/>
              </w:rPr>
            </w:pPr>
            <w:r>
              <w:rPr>
                <w:rFonts w:ascii="Arial" w:hAnsi="Arial"/>
                <w:sz w:val="20"/>
                <w:szCs w:val="20"/>
              </w:rPr>
              <w:t>La base de datos denominada “</w:t>
            </w:r>
            <w:r w:rsidRPr="00F637C9">
              <w:rPr>
                <w:rFonts w:ascii="Arial" w:hAnsi="Arial"/>
                <w:sz w:val="20"/>
                <w:szCs w:val="20"/>
              </w:rPr>
              <w:t xml:space="preserve">Base de </w:t>
            </w:r>
            <w:r>
              <w:rPr>
                <w:rFonts w:ascii="Arial" w:hAnsi="Arial"/>
                <w:sz w:val="20"/>
                <w:szCs w:val="20"/>
              </w:rPr>
              <w:t>d</w:t>
            </w:r>
            <w:r w:rsidRPr="00F637C9">
              <w:rPr>
                <w:rFonts w:ascii="Arial" w:hAnsi="Arial"/>
                <w:sz w:val="20"/>
                <w:szCs w:val="20"/>
              </w:rPr>
              <w:t>atos</w:t>
            </w:r>
            <w:r>
              <w:rPr>
                <w:rFonts w:ascii="Arial" w:hAnsi="Arial"/>
                <w:sz w:val="20"/>
                <w:szCs w:val="20"/>
              </w:rPr>
              <w:t xml:space="preserve"> </w:t>
            </w:r>
            <w:r w:rsidRPr="00F637C9">
              <w:rPr>
                <w:rFonts w:ascii="Arial" w:hAnsi="Arial"/>
                <w:sz w:val="20"/>
                <w:szCs w:val="20"/>
              </w:rPr>
              <w:t xml:space="preserve">del </w:t>
            </w:r>
            <w:r>
              <w:rPr>
                <w:rFonts w:ascii="Arial" w:hAnsi="Arial"/>
                <w:sz w:val="20"/>
                <w:szCs w:val="20"/>
              </w:rPr>
              <w:t>e</w:t>
            </w:r>
            <w:r w:rsidRPr="00F637C9">
              <w:rPr>
                <w:rFonts w:ascii="Arial" w:hAnsi="Arial"/>
                <w:sz w:val="20"/>
                <w:szCs w:val="20"/>
              </w:rPr>
              <w:t>stado</w:t>
            </w:r>
            <w:r>
              <w:rPr>
                <w:rFonts w:ascii="Arial" w:hAnsi="Arial"/>
                <w:sz w:val="20"/>
                <w:szCs w:val="20"/>
              </w:rPr>
              <w:t xml:space="preserve"> de la infraestructura universitaria según las Unidades Formuladoras” solo considera la determinación del estado situacional del factor productivo infraestructura, no considera otros factores, como equipo, mobiliario, entre otros que también contribuyan a brindar el servicio.</w:t>
            </w:r>
          </w:p>
          <w:p w14:paraId="123EB2D1" w14:textId="3EB96B64" w:rsidR="002C6B38" w:rsidRPr="00BD01E6" w:rsidRDefault="002C6B38" w:rsidP="002C6B38">
            <w:pPr>
              <w:rPr>
                <w:rFonts w:ascii="Arial" w:hAnsi="Arial" w:cs="Arial"/>
                <w:sz w:val="18"/>
                <w:szCs w:val="20"/>
              </w:rPr>
            </w:pPr>
          </w:p>
        </w:tc>
      </w:tr>
      <w:tr w:rsidR="00BD01E6" w:rsidRPr="00BD01E6" w14:paraId="6AEBC367"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1EEFA724" w14:textId="297AA9E6" w:rsidR="002C6B38" w:rsidRPr="00BD01E6" w:rsidRDefault="002C6B38" w:rsidP="002C6B38">
            <w:pPr>
              <w:rPr>
                <w:rFonts w:ascii="Arial" w:hAnsi="Arial" w:cs="Arial"/>
                <w:sz w:val="18"/>
                <w:szCs w:val="20"/>
              </w:rPr>
            </w:pPr>
            <w:r w:rsidRPr="00BD01E6">
              <w:rPr>
                <w:rFonts w:ascii="Arial" w:hAnsi="Arial" w:cs="Arial"/>
                <w:b/>
                <w:bCs/>
              </w:rPr>
              <w:t>Fuente de Datos</w:t>
            </w:r>
          </w:p>
        </w:tc>
      </w:tr>
      <w:tr w:rsidR="00BD01E6" w:rsidRPr="00BD01E6" w14:paraId="6D005D0A"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3294B889" w14:textId="77777777" w:rsidR="00115241" w:rsidRPr="001B3721" w:rsidRDefault="00115241" w:rsidP="00115241">
            <w:pPr>
              <w:spacing w:before="240" w:after="120"/>
              <w:jc w:val="both"/>
              <w:rPr>
                <w:rFonts w:ascii="Arial" w:hAnsi="Arial"/>
                <w:sz w:val="20"/>
                <w:szCs w:val="20"/>
                <w:lang w:val="es-MX"/>
              </w:rPr>
            </w:pPr>
            <w:r w:rsidRPr="001B3721">
              <w:rPr>
                <w:rFonts w:ascii="Arial" w:hAnsi="Arial"/>
                <w:sz w:val="20"/>
                <w:szCs w:val="20"/>
                <w:lang w:val="es-MX"/>
              </w:rPr>
              <w:t xml:space="preserve">Responsables de </w:t>
            </w:r>
            <w:r>
              <w:rPr>
                <w:rFonts w:ascii="Arial" w:hAnsi="Arial"/>
                <w:sz w:val="20"/>
                <w:szCs w:val="20"/>
                <w:lang w:val="es-MX"/>
              </w:rPr>
              <w:t xml:space="preserve">la </w:t>
            </w:r>
            <w:r w:rsidRPr="001B3721">
              <w:rPr>
                <w:rFonts w:ascii="Arial" w:hAnsi="Arial"/>
                <w:sz w:val="20"/>
                <w:szCs w:val="20"/>
                <w:lang w:val="es-MX"/>
              </w:rPr>
              <w:t>información:</w:t>
            </w:r>
          </w:p>
          <w:p w14:paraId="0E783FD5" w14:textId="6E55E49B" w:rsidR="00115241" w:rsidRDefault="00115241" w:rsidP="00115241">
            <w:pPr>
              <w:pStyle w:val="Prrafodelista"/>
              <w:numPr>
                <w:ilvl w:val="0"/>
                <w:numId w:val="7"/>
              </w:numPr>
              <w:spacing w:before="240" w:after="120"/>
              <w:jc w:val="both"/>
              <w:rPr>
                <w:rFonts w:ascii="Arial" w:hAnsi="Arial"/>
                <w:sz w:val="20"/>
                <w:szCs w:val="20"/>
                <w:lang w:val="es-MX"/>
              </w:rPr>
            </w:pPr>
            <w:r>
              <w:rPr>
                <w:rFonts w:ascii="Arial" w:hAnsi="Arial"/>
                <w:sz w:val="20"/>
                <w:szCs w:val="20"/>
                <w:lang w:val="es-MX"/>
              </w:rPr>
              <w:t xml:space="preserve">Unidades Formuladoras de las universidades, a través de la implementación del inventario de unidades productoras y activos estratégicos, y la Dirección General de Educación Superior Universitaria a través </w:t>
            </w:r>
            <w:r w:rsidR="00FE10E4">
              <w:rPr>
                <w:rFonts w:ascii="Arial" w:hAnsi="Arial"/>
                <w:sz w:val="20"/>
                <w:szCs w:val="20"/>
                <w:lang w:val="es-MX"/>
              </w:rPr>
              <w:t xml:space="preserve">de su función para </w:t>
            </w:r>
            <w:r w:rsidR="00FE10E4" w:rsidRPr="0028442B">
              <w:rPr>
                <w:rFonts w:ascii="Arial" w:hAnsi="Arial"/>
                <w:sz w:val="20"/>
                <w:szCs w:val="20"/>
                <w:lang w:val="es-MX"/>
              </w:rPr>
              <w:t xml:space="preserve">dirigir, coordinar, promover, efectuar el seguimiento y evaluar las políticas para el desarrollo y aseguramiento de la calidad de la </w:t>
            </w:r>
            <w:r w:rsidR="00FE10E4">
              <w:rPr>
                <w:rFonts w:ascii="Arial" w:hAnsi="Arial"/>
                <w:sz w:val="20"/>
                <w:szCs w:val="20"/>
                <w:lang w:val="es-MX"/>
              </w:rPr>
              <w:t>E</w:t>
            </w:r>
            <w:r w:rsidR="00FE10E4" w:rsidRPr="0028442B">
              <w:rPr>
                <w:rFonts w:ascii="Arial" w:hAnsi="Arial"/>
                <w:sz w:val="20"/>
                <w:szCs w:val="20"/>
                <w:lang w:val="es-MX"/>
              </w:rPr>
              <w:t xml:space="preserve">ducación </w:t>
            </w:r>
            <w:r w:rsidR="00FE10E4">
              <w:rPr>
                <w:rFonts w:ascii="Arial" w:hAnsi="Arial"/>
                <w:sz w:val="20"/>
                <w:szCs w:val="20"/>
                <w:lang w:val="es-MX"/>
              </w:rPr>
              <w:t>S</w:t>
            </w:r>
            <w:r w:rsidR="00FE10E4" w:rsidRPr="0028442B">
              <w:rPr>
                <w:rFonts w:ascii="Arial" w:hAnsi="Arial"/>
                <w:sz w:val="20"/>
                <w:szCs w:val="20"/>
                <w:lang w:val="es-MX"/>
              </w:rPr>
              <w:t xml:space="preserve">uperior </w:t>
            </w:r>
            <w:r w:rsidR="00FE10E4">
              <w:rPr>
                <w:rFonts w:ascii="Arial" w:hAnsi="Arial"/>
                <w:sz w:val="20"/>
                <w:szCs w:val="20"/>
                <w:lang w:val="es-MX"/>
              </w:rPr>
              <w:t>U</w:t>
            </w:r>
            <w:r w:rsidR="00FE10E4" w:rsidRPr="0028442B">
              <w:rPr>
                <w:rFonts w:ascii="Arial" w:hAnsi="Arial"/>
                <w:sz w:val="20"/>
                <w:szCs w:val="20"/>
                <w:lang w:val="es-MX"/>
              </w:rPr>
              <w:t>niversitaria, así como de proponer documentos normativos que regulen la vinculación del ministerio con las universidades públicas y privadas, y que promuevan la mejora y el uso eficaz de los recursos públicos por las universidades</w:t>
            </w:r>
            <w:r w:rsidR="00FE10E4">
              <w:rPr>
                <w:rFonts w:ascii="Arial" w:hAnsi="Arial"/>
                <w:sz w:val="20"/>
                <w:szCs w:val="20"/>
                <w:lang w:val="es-MX"/>
              </w:rPr>
              <w:t>, en el marco de sus</w:t>
            </w:r>
            <w:r w:rsidR="00FE10E4">
              <w:rPr>
                <w:rFonts w:ascii="Arial" w:hAnsi="Arial"/>
                <w:sz w:val="20"/>
                <w:szCs w:val="20"/>
              </w:rPr>
              <w:t xml:space="preserve"> competencias</w:t>
            </w:r>
            <w:r>
              <w:rPr>
                <w:rFonts w:ascii="Arial" w:hAnsi="Arial"/>
                <w:sz w:val="20"/>
                <w:szCs w:val="20"/>
                <w:lang w:val="es-MX"/>
              </w:rPr>
              <w:t>.</w:t>
            </w:r>
          </w:p>
          <w:p w14:paraId="36357C9C" w14:textId="77777777" w:rsidR="00115241" w:rsidRDefault="00115241" w:rsidP="00115241">
            <w:pPr>
              <w:pStyle w:val="Prrafodelista"/>
              <w:spacing w:before="240" w:after="120"/>
              <w:jc w:val="both"/>
              <w:rPr>
                <w:rFonts w:ascii="Arial" w:hAnsi="Arial"/>
                <w:sz w:val="20"/>
                <w:szCs w:val="20"/>
                <w:lang w:val="es-MX"/>
              </w:rPr>
            </w:pPr>
          </w:p>
          <w:p w14:paraId="3CFA4949" w14:textId="77777777" w:rsidR="00115241" w:rsidRDefault="00115241" w:rsidP="00115241">
            <w:pPr>
              <w:pStyle w:val="Prrafodelista"/>
              <w:spacing w:before="240" w:after="120"/>
              <w:ind w:left="1068"/>
              <w:jc w:val="both"/>
              <w:rPr>
                <w:rFonts w:ascii="Arial" w:hAnsi="Arial"/>
                <w:sz w:val="20"/>
                <w:szCs w:val="20"/>
                <w:lang w:val="es-MX"/>
              </w:rPr>
            </w:pPr>
            <w:r>
              <w:rPr>
                <w:rFonts w:ascii="Arial" w:hAnsi="Arial"/>
                <w:sz w:val="20"/>
                <w:szCs w:val="20"/>
                <w:lang w:val="es-MX"/>
              </w:rPr>
              <w:t xml:space="preserve">Nombre de la base de datos: </w:t>
            </w:r>
            <w:r>
              <w:rPr>
                <w:rFonts w:ascii="Arial" w:hAnsi="Arial"/>
                <w:sz w:val="20"/>
                <w:szCs w:val="20"/>
              </w:rPr>
              <w:t>“</w:t>
            </w:r>
            <w:r w:rsidRPr="00F637C9">
              <w:rPr>
                <w:rFonts w:ascii="Arial" w:hAnsi="Arial"/>
                <w:sz w:val="20"/>
                <w:szCs w:val="20"/>
              </w:rPr>
              <w:t xml:space="preserve">Base de </w:t>
            </w:r>
            <w:r>
              <w:rPr>
                <w:rFonts w:ascii="Arial" w:hAnsi="Arial"/>
                <w:sz w:val="20"/>
                <w:szCs w:val="20"/>
              </w:rPr>
              <w:t>d</w:t>
            </w:r>
            <w:r w:rsidRPr="00F637C9">
              <w:rPr>
                <w:rFonts w:ascii="Arial" w:hAnsi="Arial"/>
                <w:sz w:val="20"/>
                <w:szCs w:val="20"/>
              </w:rPr>
              <w:t>atos</w:t>
            </w:r>
            <w:r>
              <w:rPr>
                <w:rFonts w:ascii="Arial" w:hAnsi="Arial"/>
                <w:sz w:val="20"/>
                <w:szCs w:val="20"/>
              </w:rPr>
              <w:t xml:space="preserve"> </w:t>
            </w:r>
            <w:r w:rsidRPr="00F637C9">
              <w:rPr>
                <w:rFonts w:ascii="Arial" w:hAnsi="Arial"/>
                <w:sz w:val="20"/>
                <w:szCs w:val="20"/>
              </w:rPr>
              <w:t xml:space="preserve">del </w:t>
            </w:r>
            <w:r>
              <w:rPr>
                <w:rFonts w:ascii="Arial" w:hAnsi="Arial"/>
                <w:sz w:val="20"/>
                <w:szCs w:val="20"/>
              </w:rPr>
              <w:t>e</w:t>
            </w:r>
            <w:r w:rsidRPr="00F637C9">
              <w:rPr>
                <w:rFonts w:ascii="Arial" w:hAnsi="Arial"/>
                <w:sz w:val="20"/>
                <w:szCs w:val="20"/>
              </w:rPr>
              <w:t>stado</w:t>
            </w:r>
            <w:r>
              <w:rPr>
                <w:rFonts w:ascii="Arial" w:hAnsi="Arial"/>
                <w:sz w:val="20"/>
                <w:szCs w:val="20"/>
              </w:rPr>
              <w:t xml:space="preserve"> de la infraestructura universitaria según las Unidades Formuladoras”</w:t>
            </w:r>
            <w:r w:rsidRPr="00DB6F85">
              <w:rPr>
                <w:rFonts w:ascii="Arial" w:hAnsi="Arial"/>
                <w:sz w:val="20"/>
                <w:szCs w:val="20"/>
              </w:rPr>
              <w:t>:</w:t>
            </w:r>
          </w:p>
          <w:p w14:paraId="68DA3C79" w14:textId="77777777" w:rsidR="00115241" w:rsidRPr="0039057B" w:rsidRDefault="00115241" w:rsidP="00115241">
            <w:pPr>
              <w:pStyle w:val="Prrafodelista"/>
              <w:spacing w:before="240" w:after="120"/>
              <w:ind w:left="1068"/>
              <w:jc w:val="both"/>
              <w:rPr>
                <w:rFonts w:ascii="Arial" w:hAnsi="Arial"/>
                <w:sz w:val="20"/>
                <w:szCs w:val="20"/>
                <w:lang w:val="es-MX"/>
              </w:rPr>
            </w:pPr>
          </w:p>
          <w:p w14:paraId="335C1423" w14:textId="7EB508D1" w:rsidR="00C57EB3" w:rsidRDefault="00115241" w:rsidP="00C57EB3">
            <w:pPr>
              <w:autoSpaceDE w:val="0"/>
              <w:autoSpaceDN w:val="0"/>
              <w:jc w:val="both"/>
              <w:rPr>
                <w:rFonts w:ascii="Arial" w:hAnsi="Arial"/>
                <w:sz w:val="20"/>
                <w:szCs w:val="20"/>
              </w:rPr>
            </w:pPr>
            <w:r w:rsidRPr="001B3721">
              <w:rPr>
                <w:rFonts w:ascii="Arial" w:hAnsi="Arial"/>
                <w:sz w:val="20"/>
                <w:szCs w:val="20"/>
              </w:rPr>
              <w:t>La medición de las brechas para la Programación Multianual de Inversiones se realizará cada año con las bases de datos más actualizadas</w:t>
            </w:r>
            <w:r w:rsidRPr="001B3721">
              <w:rPr>
                <w:rFonts w:ascii="Arial" w:hAnsi="Arial"/>
                <w:sz w:val="20"/>
                <w:szCs w:val="20"/>
                <w:lang w:val="es-MX"/>
              </w:rPr>
              <w:t>.</w:t>
            </w:r>
          </w:p>
          <w:p w14:paraId="28B61996" w14:textId="6F19298E" w:rsidR="00115241" w:rsidRPr="00BD01E6" w:rsidRDefault="00115241" w:rsidP="00C57EB3">
            <w:pPr>
              <w:autoSpaceDE w:val="0"/>
              <w:autoSpaceDN w:val="0"/>
              <w:jc w:val="both"/>
              <w:rPr>
                <w:rFonts w:ascii="Arial" w:hAnsi="Arial"/>
                <w:sz w:val="20"/>
                <w:szCs w:val="20"/>
              </w:rPr>
            </w:pPr>
          </w:p>
        </w:tc>
      </w:tr>
      <w:tr w:rsidR="00BD01E6" w:rsidRPr="00BD01E6" w14:paraId="5481CE85"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38775197" w14:textId="682BCADE" w:rsidR="002C6B38" w:rsidRPr="00BD01E6" w:rsidRDefault="002C6B38" w:rsidP="002C6B38">
            <w:pPr>
              <w:rPr>
                <w:rFonts w:ascii="Arial" w:hAnsi="Arial" w:cs="Arial"/>
                <w:sz w:val="18"/>
                <w:szCs w:val="20"/>
              </w:rPr>
            </w:pPr>
            <w:r w:rsidRPr="00BD01E6">
              <w:rPr>
                <w:rFonts w:ascii="Arial" w:hAnsi="Arial" w:cs="Arial"/>
                <w:b/>
                <w:bCs/>
                <w:szCs w:val="20"/>
              </w:rPr>
              <w:t>Instrumento de Recolección de Información</w:t>
            </w:r>
          </w:p>
        </w:tc>
      </w:tr>
      <w:tr w:rsidR="00BD01E6" w:rsidRPr="00BD01E6" w14:paraId="75468DF2"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3344E65F" w14:textId="5C76C66E" w:rsidR="00C57EB3" w:rsidRPr="00863D7D" w:rsidRDefault="00115241" w:rsidP="00863D7D">
            <w:pPr>
              <w:pStyle w:val="Prrafodelista"/>
              <w:numPr>
                <w:ilvl w:val="0"/>
                <w:numId w:val="7"/>
              </w:numPr>
              <w:spacing w:before="240" w:after="120"/>
              <w:jc w:val="both"/>
            </w:pPr>
            <w:r w:rsidRPr="00744593">
              <w:rPr>
                <w:rFonts w:ascii="Arial" w:hAnsi="Arial"/>
                <w:sz w:val="20"/>
                <w:szCs w:val="20"/>
              </w:rPr>
              <w:t>La Unidad de Programación e Inversiones del MINEDU, en el marco de sus funciones como Oficina de Programación Multianual de Inversiones del Sector Educación a través de</w:t>
            </w:r>
            <w:r w:rsidRPr="00144229">
              <w:rPr>
                <w:rFonts w:ascii="Arial" w:hAnsi="Arial"/>
                <w:sz w:val="20"/>
                <w:szCs w:val="20"/>
              </w:rPr>
              <w:t xml:space="preserve"> la implementación del Inventario de Unidades Productoras y Activos Estratégicos realiza la elaboración de instrumentos, manuales, protocolos para la identificación y determinación del estado situacional de las unidades productoras</w:t>
            </w:r>
            <w:r>
              <w:rPr>
                <w:rFonts w:ascii="Arial" w:hAnsi="Arial"/>
                <w:sz w:val="20"/>
                <w:szCs w:val="20"/>
              </w:rPr>
              <w:t>.</w:t>
            </w:r>
            <w:r w:rsidRPr="00744593">
              <w:rPr>
                <w:rFonts w:ascii="Arial" w:hAnsi="Arial"/>
                <w:sz w:val="20"/>
                <w:szCs w:val="20"/>
              </w:rPr>
              <w:t xml:space="preserve"> </w:t>
            </w:r>
            <w:r>
              <w:rPr>
                <w:rFonts w:ascii="Arial" w:hAnsi="Arial"/>
                <w:sz w:val="20"/>
                <w:szCs w:val="20"/>
              </w:rPr>
              <w:t>A</w:t>
            </w:r>
            <w:r w:rsidRPr="00744593">
              <w:rPr>
                <w:rFonts w:ascii="Arial" w:hAnsi="Arial"/>
                <w:sz w:val="20"/>
                <w:szCs w:val="20"/>
              </w:rPr>
              <w:t>s</w:t>
            </w:r>
            <w:r w:rsidR="003D421D">
              <w:rPr>
                <w:rFonts w:ascii="Arial" w:hAnsi="Arial"/>
                <w:sz w:val="20"/>
                <w:szCs w:val="20"/>
              </w:rPr>
              <w:t>i</w:t>
            </w:r>
            <w:r>
              <w:rPr>
                <w:rFonts w:ascii="Arial" w:hAnsi="Arial"/>
                <w:sz w:val="20"/>
                <w:szCs w:val="20"/>
              </w:rPr>
              <w:t>mismo, actualiza</w:t>
            </w:r>
            <w:r w:rsidRPr="00744593">
              <w:rPr>
                <w:rFonts w:ascii="Arial" w:hAnsi="Arial"/>
                <w:sz w:val="20"/>
                <w:szCs w:val="20"/>
              </w:rPr>
              <w:t xml:space="preserve"> </w:t>
            </w:r>
            <w:r w:rsidRPr="00144229">
              <w:rPr>
                <w:rFonts w:ascii="Arial" w:hAnsi="Arial"/>
                <w:sz w:val="20"/>
                <w:szCs w:val="20"/>
              </w:rPr>
              <w:t xml:space="preserve">de manera anual la lista de UP mediante su consolidación a través de la base de datos denominada </w:t>
            </w:r>
            <w:r>
              <w:rPr>
                <w:rFonts w:ascii="Arial" w:hAnsi="Arial"/>
                <w:sz w:val="20"/>
                <w:szCs w:val="20"/>
              </w:rPr>
              <w:t>“</w:t>
            </w:r>
            <w:r w:rsidRPr="00F637C9">
              <w:rPr>
                <w:rFonts w:ascii="Arial" w:hAnsi="Arial"/>
                <w:sz w:val="20"/>
                <w:szCs w:val="20"/>
              </w:rPr>
              <w:t xml:space="preserve">Base de </w:t>
            </w:r>
            <w:r>
              <w:rPr>
                <w:rFonts w:ascii="Arial" w:hAnsi="Arial"/>
                <w:sz w:val="20"/>
                <w:szCs w:val="20"/>
              </w:rPr>
              <w:t>d</w:t>
            </w:r>
            <w:r w:rsidRPr="00F637C9">
              <w:rPr>
                <w:rFonts w:ascii="Arial" w:hAnsi="Arial"/>
                <w:sz w:val="20"/>
                <w:szCs w:val="20"/>
              </w:rPr>
              <w:t>atos</w:t>
            </w:r>
            <w:r>
              <w:rPr>
                <w:rFonts w:ascii="Arial" w:hAnsi="Arial"/>
                <w:sz w:val="20"/>
                <w:szCs w:val="20"/>
              </w:rPr>
              <w:t xml:space="preserve"> </w:t>
            </w:r>
            <w:r w:rsidRPr="00F637C9">
              <w:rPr>
                <w:rFonts w:ascii="Arial" w:hAnsi="Arial"/>
                <w:sz w:val="20"/>
                <w:szCs w:val="20"/>
              </w:rPr>
              <w:t xml:space="preserve">del </w:t>
            </w:r>
            <w:r>
              <w:rPr>
                <w:rFonts w:ascii="Arial" w:hAnsi="Arial"/>
                <w:sz w:val="20"/>
                <w:szCs w:val="20"/>
              </w:rPr>
              <w:t>e</w:t>
            </w:r>
            <w:r w:rsidRPr="00F637C9">
              <w:rPr>
                <w:rFonts w:ascii="Arial" w:hAnsi="Arial"/>
                <w:sz w:val="20"/>
                <w:szCs w:val="20"/>
              </w:rPr>
              <w:t>stado</w:t>
            </w:r>
            <w:r>
              <w:rPr>
                <w:rFonts w:ascii="Arial" w:hAnsi="Arial"/>
                <w:sz w:val="20"/>
                <w:szCs w:val="20"/>
              </w:rPr>
              <w:t xml:space="preserve"> de la infraestructura universitaria según las Unidades Formuladoras”</w:t>
            </w:r>
            <w:r w:rsidR="00886320">
              <w:rPr>
                <w:rFonts w:ascii="Arial" w:hAnsi="Arial"/>
                <w:sz w:val="20"/>
                <w:szCs w:val="20"/>
              </w:rPr>
              <w:t>.</w:t>
            </w:r>
          </w:p>
        </w:tc>
      </w:tr>
      <w:bookmarkEnd w:id="0"/>
      <w:bookmarkEnd w:id="1"/>
    </w:tbl>
    <w:p w14:paraId="615CBBEE" w14:textId="1C7D0672" w:rsidR="00076082" w:rsidRPr="00F73F93" w:rsidRDefault="00076082" w:rsidP="009F6EE7">
      <w:pPr>
        <w:spacing w:after="120" w:line="240" w:lineRule="auto"/>
        <w:jc w:val="both"/>
        <w:rPr>
          <w:color w:val="FF0000"/>
          <w:sz w:val="18"/>
        </w:rPr>
      </w:pPr>
    </w:p>
    <w:sectPr w:rsidR="00076082" w:rsidRPr="00F73F93" w:rsidSect="008E10DB">
      <w:pgSz w:w="11906" w:h="16838"/>
      <w:pgMar w:top="1417" w:right="1133"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54B8A" w14:textId="77777777" w:rsidR="00024907" w:rsidRDefault="00024907" w:rsidP="00020DDF">
      <w:pPr>
        <w:spacing w:after="0" w:line="240" w:lineRule="auto"/>
      </w:pPr>
      <w:r>
        <w:separator/>
      </w:r>
    </w:p>
  </w:endnote>
  <w:endnote w:type="continuationSeparator" w:id="0">
    <w:p w14:paraId="16378E78" w14:textId="77777777" w:rsidR="00024907" w:rsidRDefault="00024907" w:rsidP="00020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EFF8E" w14:textId="77777777" w:rsidR="00024907" w:rsidRDefault="00024907" w:rsidP="00020DDF">
      <w:pPr>
        <w:spacing w:after="0" w:line="240" w:lineRule="auto"/>
      </w:pPr>
      <w:r>
        <w:separator/>
      </w:r>
    </w:p>
  </w:footnote>
  <w:footnote w:type="continuationSeparator" w:id="0">
    <w:p w14:paraId="07992453" w14:textId="77777777" w:rsidR="00024907" w:rsidRDefault="00024907" w:rsidP="00020DDF">
      <w:pPr>
        <w:spacing w:after="0" w:line="240" w:lineRule="auto"/>
      </w:pPr>
      <w:r>
        <w:continuationSeparator/>
      </w:r>
    </w:p>
  </w:footnote>
  <w:footnote w:id="1">
    <w:p w14:paraId="045E3F3C" w14:textId="4B376E1A" w:rsidR="00A62AC4" w:rsidRDefault="00A62AC4" w:rsidP="00A62AC4">
      <w:pPr>
        <w:pStyle w:val="Textonotapie"/>
      </w:pPr>
      <w:r>
        <w:rPr>
          <w:rStyle w:val="Refdenotaalpie"/>
        </w:rPr>
        <w:footnoteRef/>
      </w:r>
      <w:r>
        <w:t xml:space="preserve"> </w:t>
      </w:r>
      <w:r w:rsidRPr="00A62AC4">
        <w:rPr>
          <w:rFonts w:ascii="Arial" w:hAnsi="Arial"/>
          <w:sz w:val="16"/>
          <w:szCs w:val="16"/>
        </w:rPr>
        <w:t xml:space="preserve">Porcentaje de instalaciones de la administración central de las universidades </w:t>
      </w:r>
      <w:r w:rsidR="002F1F3D">
        <w:rPr>
          <w:rFonts w:ascii="Arial" w:hAnsi="Arial"/>
          <w:sz w:val="16"/>
          <w:szCs w:val="16"/>
        </w:rPr>
        <w:t xml:space="preserve">públicas </w:t>
      </w:r>
      <w:r w:rsidRPr="00A62AC4">
        <w:rPr>
          <w:rFonts w:ascii="Arial" w:hAnsi="Arial"/>
          <w:sz w:val="16"/>
          <w:szCs w:val="16"/>
        </w:rPr>
        <w:t xml:space="preserve">en </w:t>
      </w:r>
      <w:r w:rsidR="00414439">
        <w:rPr>
          <w:rFonts w:ascii="Arial" w:hAnsi="Arial"/>
          <w:sz w:val="16"/>
          <w:szCs w:val="16"/>
        </w:rPr>
        <w:t>condiciones</w:t>
      </w:r>
      <w:r w:rsidRPr="00A62AC4">
        <w:rPr>
          <w:rFonts w:ascii="Arial" w:hAnsi="Arial"/>
          <w:sz w:val="16"/>
          <w:szCs w:val="16"/>
        </w:rPr>
        <w:t xml:space="preserve"> inadecuad</w:t>
      </w:r>
      <w:r w:rsidR="00414439">
        <w:rPr>
          <w:rFonts w:ascii="Arial" w:hAnsi="Arial"/>
          <w:sz w:val="16"/>
          <w:szCs w:val="16"/>
        </w:rPr>
        <w:t>as</w:t>
      </w:r>
    </w:p>
  </w:footnote>
  <w:footnote w:id="2">
    <w:p w14:paraId="2EAC95EC" w14:textId="77777777" w:rsidR="00A62AC4" w:rsidRDefault="00A62AC4" w:rsidP="00A62AC4">
      <w:pPr>
        <w:pStyle w:val="Textonotapie"/>
      </w:pPr>
      <w:r>
        <w:rPr>
          <w:rStyle w:val="Refdenotaalpie"/>
        </w:rPr>
        <w:footnoteRef/>
      </w:r>
      <w:r>
        <w:t xml:space="preserve"> </w:t>
      </w:r>
      <w:r w:rsidRPr="0096791E">
        <w:rPr>
          <w:rFonts w:ascii="Arial" w:hAnsi="Arial"/>
          <w:sz w:val="16"/>
          <w:szCs w:val="16"/>
        </w:rPr>
        <w:t>Indicador de brecha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D6CEC"/>
    <w:multiLevelType w:val="hybridMultilevel"/>
    <w:tmpl w:val="07C42B32"/>
    <w:lvl w:ilvl="0" w:tplc="4D32E9C0">
      <w:numFmt w:val="bullet"/>
      <w:lvlText w:val="-"/>
      <w:lvlJc w:val="left"/>
      <w:pPr>
        <w:ind w:left="1080" w:hanging="360"/>
      </w:pPr>
      <w:rPr>
        <w:rFonts w:ascii="Arial" w:eastAsiaTheme="minorHAnsi" w:hAnsi="Arial" w:cs="Aria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 w15:restartNumberingAfterBreak="0">
    <w:nsid w:val="0229075B"/>
    <w:multiLevelType w:val="hybridMultilevel"/>
    <w:tmpl w:val="E20810F8"/>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47A66B7"/>
    <w:multiLevelType w:val="hybridMultilevel"/>
    <w:tmpl w:val="93BC36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735B92"/>
    <w:multiLevelType w:val="hybridMultilevel"/>
    <w:tmpl w:val="6B5AE38C"/>
    <w:lvl w:ilvl="0" w:tplc="280A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FC4D4F"/>
    <w:multiLevelType w:val="hybridMultilevel"/>
    <w:tmpl w:val="1E7E1F7A"/>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D6B57AC"/>
    <w:multiLevelType w:val="hybridMultilevel"/>
    <w:tmpl w:val="9BF216FC"/>
    <w:lvl w:ilvl="0" w:tplc="B8122130">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6" w15:restartNumberingAfterBreak="0">
    <w:nsid w:val="1E124650"/>
    <w:multiLevelType w:val="hybridMultilevel"/>
    <w:tmpl w:val="943407D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29A011B0"/>
    <w:multiLevelType w:val="hybridMultilevel"/>
    <w:tmpl w:val="90440F16"/>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BAA61A2"/>
    <w:multiLevelType w:val="hybridMultilevel"/>
    <w:tmpl w:val="11707D0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9" w15:restartNumberingAfterBreak="0">
    <w:nsid w:val="39F22A64"/>
    <w:multiLevelType w:val="hybridMultilevel"/>
    <w:tmpl w:val="804EB3AA"/>
    <w:lvl w:ilvl="0" w:tplc="280A000F">
      <w:start w:val="1"/>
      <w:numFmt w:val="decimal"/>
      <w:lvlText w:val="%1."/>
      <w:lvlJc w:val="left"/>
      <w:pPr>
        <w:ind w:left="720" w:hanging="360"/>
      </w:pPr>
      <w:rPr>
        <w:rFonts w:hint="default"/>
      </w:rPr>
    </w:lvl>
    <w:lvl w:ilvl="1" w:tplc="280A0019">
      <w:start w:val="1"/>
      <w:numFmt w:val="lowerLetter"/>
      <w:lvlText w:val="%2."/>
      <w:lvlJc w:val="left"/>
      <w:pPr>
        <w:ind w:left="1440" w:hanging="360"/>
      </w:pPr>
      <w:rPr>
        <w:rFonts w:hint="default"/>
      </w:rPr>
    </w:lvl>
    <w:lvl w:ilvl="2" w:tplc="280A001B">
      <w:start w:val="1"/>
      <w:numFmt w:val="lowerRoman"/>
      <w:lvlText w:val="%3."/>
      <w:lvlJc w:val="right"/>
      <w:pPr>
        <w:ind w:left="2160" w:hanging="360"/>
      </w:pPr>
      <w:rPr>
        <w:rFont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3C147A46"/>
    <w:multiLevelType w:val="hybridMultilevel"/>
    <w:tmpl w:val="269E04C8"/>
    <w:lvl w:ilvl="0" w:tplc="280A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E3E089F"/>
    <w:multiLevelType w:val="hybridMultilevel"/>
    <w:tmpl w:val="E9B20538"/>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0F35A74"/>
    <w:multiLevelType w:val="hybridMultilevel"/>
    <w:tmpl w:val="02FCD796"/>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3" w15:restartNumberingAfterBreak="0">
    <w:nsid w:val="47A83FC3"/>
    <w:multiLevelType w:val="hybridMultilevel"/>
    <w:tmpl w:val="DB224A82"/>
    <w:lvl w:ilvl="0" w:tplc="EFECC35A">
      <w:start w:val="1"/>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47F13C8C"/>
    <w:multiLevelType w:val="hybridMultilevel"/>
    <w:tmpl w:val="26C815D6"/>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DB01521"/>
    <w:multiLevelType w:val="hybridMultilevel"/>
    <w:tmpl w:val="947252AE"/>
    <w:lvl w:ilvl="0" w:tplc="280A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AB2EC7"/>
    <w:multiLevelType w:val="hybridMultilevel"/>
    <w:tmpl w:val="78A4951E"/>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CE92185"/>
    <w:multiLevelType w:val="hybridMultilevel"/>
    <w:tmpl w:val="433E2F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5B2E9E"/>
    <w:multiLevelType w:val="hybridMultilevel"/>
    <w:tmpl w:val="D61EEEE8"/>
    <w:lvl w:ilvl="0" w:tplc="280A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DC5F3C"/>
    <w:multiLevelType w:val="hybridMultilevel"/>
    <w:tmpl w:val="A26A4BF0"/>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0" w15:restartNumberingAfterBreak="0">
    <w:nsid w:val="609E4F04"/>
    <w:multiLevelType w:val="hybridMultilevel"/>
    <w:tmpl w:val="D688BEE4"/>
    <w:lvl w:ilvl="0" w:tplc="280A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701128"/>
    <w:multiLevelType w:val="hybridMultilevel"/>
    <w:tmpl w:val="993E6BF4"/>
    <w:lvl w:ilvl="0" w:tplc="280A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4FE431C"/>
    <w:multiLevelType w:val="hybridMultilevel"/>
    <w:tmpl w:val="B0AE81E8"/>
    <w:lvl w:ilvl="0" w:tplc="280A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6F65B3"/>
    <w:multiLevelType w:val="hybridMultilevel"/>
    <w:tmpl w:val="AA748EE8"/>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D44285A"/>
    <w:multiLevelType w:val="hybridMultilevel"/>
    <w:tmpl w:val="9C0029B0"/>
    <w:lvl w:ilvl="0" w:tplc="280A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8666E8"/>
    <w:multiLevelType w:val="hybridMultilevel"/>
    <w:tmpl w:val="43B01E72"/>
    <w:lvl w:ilvl="0" w:tplc="280A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05D5E82"/>
    <w:multiLevelType w:val="hybridMultilevel"/>
    <w:tmpl w:val="D8C2198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C36950"/>
    <w:multiLevelType w:val="hybridMultilevel"/>
    <w:tmpl w:val="FCD404AA"/>
    <w:lvl w:ilvl="0" w:tplc="280A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5D95778"/>
    <w:multiLevelType w:val="hybridMultilevel"/>
    <w:tmpl w:val="9B6E6DC2"/>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7430B22"/>
    <w:multiLevelType w:val="hybridMultilevel"/>
    <w:tmpl w:val="7D9060B0"/>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8BB7D72"/>
    <w:multiLevelType w:val="hybridMultilevel"/>
    <w:tmpl w:val="B018288E"/>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5"/>
  </w:num>
  <w:num w:numId="4">
    <w:abstractNumId w:val="28"/>
  </w:num>
  <w:num w:numId="5">
    <w:abstractNumId w:val="19"/>
  </w:num>
  <w:num w:numId="6">
    <w:abstractNumId w:val="12"/>
  </w:num>
  <w:num w:numId="7">
    <w:abstractNumId w:val="17"/>
  </w:num>
  <w:num w:numId="8">
    <w:abstractNumId w:val="26"/>
  </w:num>
  <w:num w:numId="9">
    <w:abstractNumId w:val="4"/>
  </w:num>
  <w:num w:numId="10">
    <w:abstractNumId w:val="3"/>
  </w:num>
  <w:num w:numId="11">
    <w:abstractNumId w:val="14"/>
  </w:num>
  <w:num w:numId="12">
    <w:abstractNumId w:val="25"/>
  </w:num>
  <w:num w:numId="13">
    <w:abstractNumId w:val="23"/>
  </w:num>
  <w:num w:numId="14">
    <w:abstractNumId w:val="22"/>
  </w:num>
  <w:num w:numId="15">
    <w:abstractNumId w:val="7"/>
  </w:num>
  <w:num w:numId="16">
    <w:abstractNumId w:val="18"/>
  </w:num>
  <w:num w:numId="17">
    <w:abstractNumId w:val="29"/>
  </w:num>
  <w:num w:numId="18">
    <w:abstractNumId w:val="27"/>
  </w:num>
  <w:num w:numId="19">
    <w:abstractNumId w:val="10"/>
  </w:num>
  <w:num w:numId="20">
    <w:abstractNumId w:val="11"/>
  </w:num>
  <w:num w:numId="21">
    <w:abstractNumId w:val="2"/>
  </w:num>
  <w:num w:numId="22">
    <w:abstractNumId w:val="24"/>
  </w:num>
  <w:num w:numId="23">
    <w:abstractNumId w:val="16"/>
  </w:num>
  <w:num w:numId="24">
    <w:abstractNumId w:val="15"/>
  </w:num>
  <w:num w:numId="25">
    <w:abstractNumId w:val="20"/>
  </w:num>
  <w:num w:numId="26">
    <w:abstractNumId w:val="1"/>
  </w:num>
  <w:num w:numId="27">
    <w:abstractNumId w:val="21"/>
  </w:num>
  <w:num w:numId="28">
    <w:abstractNumId w:val="0"/>
  </w:num>
  <w:num w:numId="29">
    <w:abstractNumId w:val="30"/>
  </w:num>
  <w:num w:numId="30">
    <w:abstractNumId w:val="6"/>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C8F"/>
    <w:rsid w:val="00013677"/>
    <w:rsid w:val="00020DDF"/>
    <w:rsid w:val="00024907"/>
    <w:rsid w:val="0003669C"/>
    <w:rsid w:val="00045EB3"/>
    <w:rsid w:val="00065771"/>
    <w:rsid w:val="00071462"/>
    <w:rsid w:val="00073DB8"/>
    <w:rsid w:val="00076082"/>
    <w:rsid w:val="000943CD"/>
    <w:rsid w:val="000B702B"/>
    <w:rsid w:val="000C10E2"/>
    <w:rsid w:val="000F3F4B"/>
    <w:rsid w:val="000F784E"/>
    <w:rsid w:val="001056C9"/>
    <w:rsid w:val="001125DA"/>
    <w:rsid w:val="00115241"/>
    <w:rsid w:val="00127838"/>
    <w:rsid w:val="00133225"/>
    <w:rsid w:val="00142865"/>
    <w:rsid w:val="00151ABA"/>
    <w:rsid w:val="00155F72"/>
    <w:rsid w:val="0015653C"/>
    <w:rsid w:val="00162C09"/>
    <w:rsid w:val="0016635C"/>
    <w:rsid w:val="00167202"/>
    <w:rsid w:val="00171EB6"/>
    <w:rsid w:val="001904EF"/>
    <w:rsid w:val="0019383D"/>
    <w:rsid w:val="001A24B5"/>
    <w:rsid w:val="001C5C45"/>
    <w:rsid w:val="001D5D9B"/>
    <w:rsid w:val="001E1DCD"/>
    <w:rsid w:val="001E53BF"/>
    <w:rsid w:val="001E666F"/>
    <w:rsid w:val="001F59BD"/>
    <w:rsid w:val="00201772"/>
    <w:rsid w:val="00215A43"/>
    <w:rsid w:val="002175A0"/>
    <w:rsid w:val="002352E0"/>
    <w:rsid w:val="00246044"/>
    <w:rsid w:val="002512EA"/>
    <w:rsid w:val="0026508A"/>
    <w:rsid w:val="00276E91"/>
    <w:rsid w:val="00293BB3"/>
    <w:rsid w:val="0029788E"/>
    <w:rsid w:val="002C6B38"/>
    <w:rsid w:val="002D244C"/>
    <w:rsid w:val="002F1F3D"/>
    <w:rsid w:val="0030016D"/>
    <w:rsid w:val="00325B1B"/>
    <w:rsid w:val="003261A2"/>
    <w:rsid w:val="00357844"/>
    <w:rsid w:val="00373F00"/>
    <w:rsid w:val="003818BB"/>
    <w:rsid w:val="003B21BA"/>
    <w:rsid w:val="003B5C44"/>
    <w:rsid w:val="003C21ED"/>
    <w:rsid w:val="003C33F5"/>
    <w:rsid w:val="003D421D"/>
    <w:rsid w:val="003D5CA5"/>
    <w:rsid w:val="003E1B59"/>
    <w:rsid w:val="003E3225"/>
    <w:rsid w:val="003E3E91"/>
    <w:rsid w:val="003E4580"/>
    <w:rsid w:val="003F22A5"/>
    <w:rsid w:val="003F69BC"/>
    <w:rsid w:val="004059F9"/>
    <w:rsid w:val="00414439"/>
    <w:rsid w:val="00421284"/>
    <w:rsid w:val="00435559"/>
    <w:rsid w:val="00442BBE"/>
    <w:rsid w:val="00447930"/>
    <w:rsid w:val="0045134B"/>
    <w:rsid w:val="0045757D"/>
    <w:rsid w:val="004A211F"/>
    <w:rsid w:val="004B0AA4"/>
    <w:rsid w:val="004B73EC"/>
    <w:rsid w:val="004C4331"/>
    <w:rsid w:val="004D2231"/>
    <w:rsid w:val="004E3726"/>
    <w:rsid w:val="004E552A"/>
    <w:rsid w:val="00501759"/>
    <w:rsid w:val="0050332F"/>
    <w:rsid w:val="005252CF"/>
    <w:rsid w:val="00562508"/>
    <w:rsid w:val="00573060"/>
    <w:rsid w:val="00592340"/>
    <w:rsid w:val="005A23AD"/>
    <w:rsid w:val="005C15A3"/>
    <w:rsid w:val="005E2882"/>
    <w:rsid w:val="005F2039"/>
    <w:rsid w:val="00616C93"/>
    <w:rsid w:val="00630CDD"/>
    <w:rsid w:val="00637FF0"/>
    <w:rsid w:val="0065536D"/>
    <w:rsid w:val="00670009"/>
    <w:rsid w:val="006837CD"/>
    <w:rsid w:val="00686F75"/>
    <w:rsid w:val="006A5398"/>
    <w:rsid w:val="006D3231"/>
    <w:rsid w:val="007061A0"/>
    <w:rsid w:val="00714A93"/>
    <w:rsid w:val="007236D7"/>
    <w:rsid w:val="00746EB6"/>
    <w:rsid w:val="00785D71"/>
    <w:rsid w:val="00791B39"/>
    <w:rsid w:val="00791F61"/>
    <w:rsid w:val="007A38D0"/>
    <w:rsid w:val="007C4F1D"/>
    <w:rsid w:val="007E5285"/>
    <w:rsid w:val="00806383"/>
    <w:rsid w:val="00814517"/>
    <w:rsid w:val="008174BC"/>
    <w:rsid w:val="0084371A"/>
    <w:rsid w:val="00847FB8"/>
    <w:rsid w:val="0085415B"/>
    <w:rsid w:val="00861770"/>
    <w:rsid w:val="00863D7D"/>
    <w:rsid w:val="008648DC"/>
    <w:rsid w:val="00871BC1"/>
    <w:rsid w:val="008819C3"/>
    <w:rsid w:val="008853C5"/>
    <w:rsid w:val="00886320"/>
    <w:rsid w:val="00890B8F"/>
    <w:rsid w:val="00895F27"/>
    <w:rsid w:val="008A2BF7"/>
    <w:rsid w:val="008C2AC8"/>
    <w:rsid w:val="008E10DB"/>
    <w:rsid w:val="008E38B9"/>
    <w:rsid w:val="008E6B4E"/>
    <w:rsid w:val="008F123E"/>
    <w:rsid w:val="008F534B"/>
    <w:rsid w:val="008F73FA"/>
    <w:rsid w:val="009002FB"/>
    <w:rsid w:val="00906072"/>
    <w:rsid w:val="009437D5"/>
    <w:rsid w:val="00960D24"/>
    <w:rsid w:val="009736FF"/>
    <w:rsid w:val="0098125B"/>
    <w:rsid w:val="0099799F"/>
    <w:rsid w:val="009B732B"/>
    <w:rsid w:val="009C5F19"/>
    <w:rsid w:val="009D00E4"/>
    <w:rsid w:val="009E6B4A"/>
    <w:rsid w:val="009F4C6C"/>
    <w:rsid w:val="009F6EE7"/>
    <w:rsid w:val="00A008E8"/>
    <w:rsid w:val="00A12FCA"/>
    <w:rsid w:val="00A14B56"/>
    <w:rsid w:val="00A158EB"/>
    <w:rsid w:val="00A24B96"/>
    <w:rsid w:val="00A26138"/>
    <w:rsid w:val="00A42A6D"/>
    <w:rsid w:val="00A62AC4"/>
    <w:rsid w:val="00A6796B"/>
    <w:rsid w:val="00A85514"/>
    <w:rsid w:val="00A93168"/>
    <w:rsid w:val="00AA771A"/>
    <w:rsid w:val="00AB0037"/>
    <w:rsid w:val="00AB3CA7"/>
    <w:rsid w:val="00AC6B83"/>
    <w:rsid w:val="00AD49F8"/>
    <w:rsid w:val="00AF3A2F"/>
    <w:rsid w:val="00B0596B"/>
    <w:rsid w:val="00B204D1"/>
    <w:rsid w:val="00B41C15"/>
    <w:rsid w:val="00B4744E"/>
    <w:rsid w:val="00B50C99"/>
    <w:rsid w:val="00B730CF"/>
    <w:rsid w:val="00B771B8"/>
    <w:rsid w:val="00B9559A"/>
    <w:rsid w:val="00B96A9B"/>
    <w:rsid w:val="00BA494B"/>
    <w:rsid w:val="00BA7B47"/>
    <w:rsid w:val="00BC367A"/>
    <w:rsid w:val="00BD01E6"/>
    <w:rsid w:val="00BF1A66"/>
    <w:rsid w:val="00C1227D"/>
    <w:rsid w:val="00C15DC8"/>
    <w:rsid w:val="00C1645D"/>
    <w:rsid w:val="00C21435"/>
    <w:rsid w:val="00C273F5"/>
    <w:rsid w:val="00C30464"/>
    <w:rsid w:val="00C35814"/>
    <w:rsid w:val="00C40975"/>
    <w:rsid w:val="00C422C0"/>
    <w:rsid w:val="00C56226"/>
    <w:rsid w:val="00C57EB3"/>
    <w:rsid w:val="00C6406B"/>
    <w:rsid w:val="00C73B6D"/>
    <w:rsid w:val="00CA1718"/>
    <w:rsid w:val="00CA7D46"/>
    <w:rsid w:val="00CE02AD"/>
    <w:rsid w:val="00CE2DB2"/>
    <w:rsid w:val="00D065BA"/>
    <w:rsid w:val="00D11639"/>
    <w:rsid w:val="00D16AA9"/>
    <w:rsid w:val="00D25D74"/>
    <w:rsid w:val="00D55E0A"/>
    <w:rsid w:val="00D57631"/>
    <w:rsid w:val="00D65129"/>
    <w:rsid w:val="00D6566C"/>
    <w:rsid w:val="00D67CD6"/>
    <w:rsid w:val="00D82604"/>
    <w:rsid w:val="00D93115"/>
    <w:rsid w:val="00DB180C"/>
    <w:rsid w:val="00DB4C71"/>
    <w:rsid w:val="00DC436B"/>
    <w:rsid w:val="00DC7707"/>
    <w:rsid w:val="00DE2D8A"/>
    <w:rsid w:val="00DF1A12"/>
    <w:rsid w:val="00E002B9"/>
    <w:rsid w:val="00E00D59"/>
    <w:rsid w:val="00E01366"/>
    <w:rsid w:val="00E044E9"/>
    <w:rsid w:val="00E06F2E"/>
    <w:rsid w:val="00E10C16"/>
    <w:rsid w:val="00E11D2F"/>
    <w:rsid w:val="00E14782"/>
    <w:rsid w:val="00E2011E"/>
    <w:rsid w:val="00E243BC"/>
    <w:rsid w:val="00E5234F"/>
    <w:rsid w:val="00E57BA7"/>
    <w:rsid w:val="00E848B3"/>
    <w:rsid w:val="00EA344F"/>
    <w:rsid w:val="00EB2441"/>
    <w:rsid w:val="00EC0DE3"/>
    <w:rsid w:val="00EF6362"/>
    <w:rsid w:val="00EF7C8F"/>
    <w:rsid w:val="00F6484A"/>
    <w:rsid w:val="00F65E4D"/>
    <w:rsid w:val="00F73883"/>
    <w:rsid w:val="00F73F93"/>
    <w:rsid w:val="00F82D3D"/>
    <w:rsid w:val="00F91C12"/>
    <w:rsid w:val="00FA37E3"/>
    <w:rsid w:val="00FC13DB"/>
    <w:rsid w:val="00FC7D43"/>
    <w:rsid w:val="00FD23E6"/>
    <w:rsid w:val="00FD50DB"/>
    <w:rsid w:val="00FD759C"/>
    <w:rsid w:val="00FE10E4"/>
    <w:rsid w:val="00FE742C"/>
    <w:rsid w:val="00FF384E"/>
    <w:rsid w:val="00FF657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1D8EA"/>
  <w15:chartTrackingRefBased/>
  <w15:docId w15:val="{8D52F518-F4EA-4E35-9480-86826AF11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F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ed List,Fundamentacion,SubPárrafo de lista,TITULO A,Titulo de Fígura,Conclusiones,paul2,Cuadro 2-1,Iz - Párrafo de lista,Sivsa Parrafo"/>
    <w:basedOn w:val="Normal"/>
    <w:link w:val="PrrafodelistaCar"/>
    <w:uiPriority w:val="34"/>
    <w:qFormat/>
    <w:rsid w:val="003E3E91"/>
    <w:pPr>
      <w:ind w:left="720"/>
      <w:contextualSpacing/>
    </w:pPr>
  </w:style>
  <w:style w:type="paragraph" w:styleId="Textonotapie">
    <w:name w:val="footnote text"/>
    <w:basedOn w:val="Normal"/>
    <w:link w:val="TextonotapieCar"/>
    <w:uiPriority w:val="99"/>
    <w:semiHidden/>
    <w:unhideWhenUsed/>
    <w:rsid w:val="00020DDF"/>
    <w:pPr>
      <w:spacing w:after="0" w:line="240" w:lineRule="auto"/>
    </w:pPr>
    <w:rPr>
      <w:rFonts w:ascii="Calibri" w:eastAsia="Calibri" w:hAnsi="Calibri" w:cs="Arial"/>
      <w:sz w:val="20"/>
      <w:szCs w:val="20"/>
      <w:lang w:val="es-ES"/>
    </w:rPr>
  </w:style>
  <w:style w:type="character" w:customStyle="1" w:styleId="TextonotapieCar">
    <w:name w:val="Texto nota pie Car"/>
    <w:basedOn w:val="Fuentedeprrafopredeter"/>
    <w:link w:val="Textonotapie"/>
    <w:uiPriority w:val="99"/>
    <w:semiHidden/>
    <w:rsid w:val="00020DDF"/>
    <w:rPr>
      <w:rFonts w:ascii="Calibri" w:eastAsia="Calibri" w:hAnsi="Calibri" w:cs="Arial"/>
      <w:sz w:val="20"/>
      <w:szCs w:val="20"/>
      <w:lang w:val="es-ES"/>
    </w:rPr>
  </w:style>
  <w:style w:type="character" w:styleId="Refdenotaalpie">
    <w:name w:val="footnote reference"/>
    <w:uiPriority w:val="99"/>
    <w:semiHidden/>
    <w:unhideWhenUsed/>
    <w:rsid w:val="00020DDF"/>
    <w:rPr>
      <w:vertAlign w:val="superscript"/>
    </w:rPr>
  </w:style>
  <w:style w:type="character" w:styleId="Hipervnculo">
    <w:name w:val="Hyperlink"/>
    <w:uiPriority w:val="99"/>
    <w:unhideWhenUsed/>
    <w:rsid w:val="00020DDF"/>
    <w:rPr>
      <w:color w:val="0563C1"/>
      <w:u w:val="single"/>
    </w:rPr>
  </w:style>
  <w:style w:type="character" w:customStyle="1" w:styleId="PrrafodelistaCar">
    <w:name w:val="Párrafo de lista Car"/>
    <w:aliases w:val="Bulleted List Car,Fundamentacion Car,SubPárrafo de lista Car,TITULO A Car,Titulo de Fígura Car,Conclusiones Car,paul2 Car,Cuadro 2-1 Car,Iz - Párrafo de lista Car,Sivsa Parrafo Car"/>
    <w:link w:val="Prrafodelista"/>
    <w:uiPriority w:val="34"/>
    <w:locked/>
    <w:rsid w:val="009437D5"/>
  </w:style>
  <w:style w:type="paragraph" w:styleId="NormalWeb">
    <w:name w:val="Normal (Web)"/>
    <w:basedOn w:val="Normal"/>
    <w:uiPriority w:val="99"/>
    <w:unhideWhenUsed/>
    <w:rsid w:val="00155F72"/>
    <w:pPr>
      <w:spacing w:before="100" w:beforeAutospacing="1" w:after="100" w:afterAutospacing="1" w:line="240" w:lineRule="auto"/>
    </w:pPr>
    <w:rPr>
      <w:rFonts w:ascii="Times New Roman" w:eastAsiaTheme="minorEastAsia" w:hAnsi="Times New Roman" w:cs="Times New Roman"/>
      <w:sz w:val="24"/>
      <w:szCs w:val="24"/>
      <w:lang w:eastAsia="es-PE"/>
    </w:rPr>
  </w:style>
  <w:style w:type="paragraph" w:customStyle="1" w:styleId="yiv8864493563msolistparagraph">
    <w:name w:val="yiv8864493563msolistparagraph"/>
    <w:basedOn w:val="Normal"/>
    <w:rsid w:val="00E14782"/>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Refdecomentario">
    <w:name w:val="annotation reference"/>
    <w:basedOn w:val="Fuentedeprrafopredeter"/>
    <w:uiPriority w:val="99"/>
    <w:semiHidden/>
    <w:unhideWhenUsed/>
    <w:rsid w:val="00EF6362"/>
    <w:rPr>
      <w:sz w:val="16"/>
      <w:szCs w:val="16"/>
    </w:rPr>
  </w:style>
  <w:style w:type="paragraph" w:styleId="Textocomentario">
    <w:name w:val="annotation text"/>
    <w:basedOn w:val="Normal"/>
    <w:link w:val="TextocomentarioCar"/>
    <w:uiPriority w:val="99"/>
    <w:unhideWhenUsed/>
    <w:rsid w:val="00EF6362"/>
    <w:pPr>
      <w:spacing w:line="240" w:lineRule="auto"/>
    </w:pPr>
    <w:rPr>
      <w:sz w:val="20"/>
      <w:szCs w:val="20"/>
    </w:rPr>
  </w:style>
  <w:style w:type="character" w:customStyle="1" w:styleId="TextocomentarioCar">
    <w:name w:val="Texto comentario Car"/>
    <w:basedOn w:val="Fuentedeprrafopredeter"/>
    <w:link w:val="Textocomentario"/>
    <w:uiPriority w:val="99"/>
    <w:rsid w:val="00EF6362"/>
    <w:rPr>
      <w:sz w:val="20"/>
      <w:szCs w:val="20"/>
    </w:rPr>
  </w:style>
  <w:style w:type="paragraph" w:styleId="Asuntodelcomentario">
    <w:name w:val="annotation subject"/>
    <w:basedOn w:val="Textocomentario"/>
    <w:next w:val="Textocomentario"/>
    <w:link w:val="AsuntodelcomentarioCar"/>
    <w:uiPriority w:val="99"/>
    <w:semiHidden/>
    <w:unhideWhenUsed/>
    <w:rsid w:val="00EF6362"/>
    <w:rPr>
      <w:b/>
      <w:bCs/>
    </w:rPr>
  </w:style>
  <w:style w:type="character" w:customStyle="1" w:styleId="AsuntodelcomentarioCar">
    <w:name w:val="Asunto del comentario Car"/>
    <w:basedOn w:val="TextocomentarioCar"/>
    <w:link w:val="Asuntodelcomentario"/>
    <w:uiPriority w:val="99"/>
    <w:semiHidden/>
    <w:rsid w:val="00EF6362"/>
    <w:rPr>
      <w:b/>
      <w:bCs/>
      <w:sz w:val="20"/>
      <w:szCs w:val="20"/>
    </w:rPr>
  </w:style>
  <w:style w:type="paragraph" w:styleId="Revisin">
    <w:name w:val="Revision"/>
    <w:hidden/>
    <w:uiPriority w:val="99"/>
    <w:semiHidden/>
    <w:rsid w:val="00A008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8D5EA-08D6-48B1-AD00-3A5889D1A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1</Pages>
  <Words>1726</Words>
  <Characters>9499</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BERNABE VELASCO ARCE  CODIGO: 083641-K</dc:creator>
  <cp:keywords/>
  <dc:description/>
  <cp:lastModifiedBy>PAULO DANIEL MENDOZA BARRANTES</cp:lastModifiedBy>
  <cp:revision>99</cp:revision>
  <dcterms:created xsi:type="dcterms:W3CDTF">2022-12-01T20:53:00Z</dcterms:created>
  <dcterms:modified xsi:type="dcterms:W3CDTF">2025-07-03T22:16:00Z</dcterms:modified>
</cp:coreProperties>
</file>