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8C3ECE">
      <w:pPr>
        <w:spacing w:after="0" w:line="240" w:lineRule="auto"/>
        <w:ind w:left="708" w:hanging="708"/>
      </w:pPr>
    </w:p>
    <w:tbl>
      <w:tblPr>
        <w:tblStyle w:val="Tablaconcuadrcula"/>
        <w:tblW w:w="0" w:type="auto"/>
        <w:tblLook w:val="04A0" w:firstRow="1" w:lastRow="0" w:firstColumn="1" w:lastColumn="0" w:noHBand="0" w:noVBand="1"/>
      </w:tblPr>
      <w:tblGrid>
        <w:gridCol w:w="8494"/>
      </w:tblGrid>
      <w:tr w:rsidR="00002FFB" w:rsidRPr="000F2996" w14:paraId="6E5BFB72" w14:textId="77777777">
        <w:tc>
          <w:tcPr>
            <w:tcW w:w="8494" w:type="dxa"/>
          </w:tcPr>
          <w:p w14:paraId="0A08EB6A" w14:textId="77777777" w:rsidR="007F2000" w:rsidRPr="000F2996" w:rsidRDefault="00190BF5" w:rsidP="00057AB6">
            <w:pPr>
              <w:jc w:val="center"/>
              <w:rPr>
                <w:b/>
                <w:sz w:val="26"/>
                <w:szCs w:val="26"/>
              </w:rPr>
            </w:pPr>
            <w:r w:rsidRPr="000F2996">
              <w:rPr>
                <w:b/>
                <w:sz w:val="26"/>
                <w:szCs w:val="26"/>
              </w:rPr>
              <w:t xml:space="preserve">INFORMACIÓN DE LOS NIVELES DE SERVICIO Y ESTÁNDARES </w:t>
            </w:r>
          </w:p>
          <w:p w14:paraId="40CF5E28" w14:textId="2221E989" w:rsidR="00002FFB" w:rsidRPr="000F2996" w:rsidRDefault="00190BF5" w:rsidP="00057AB6">
            <w:pPr>
              <w:jc w:val="center"/>
            </w:pPr>
            <w:r w:rsidRPr="000F2996">
              <w:rPr>
                <w:b/>
                <w:sz w:val="26"/>
                <w:szCs w:val="26"/>
              </w:rPr>
              <w:t>DE CALIDAD POR SERVICIO</w:t>
            </w:r>
          </w:p>
        </w:tc>
      </w:tr>
    </w:tbl>
    <w:p w14:paraId="59CA393A" w14:textId="7CB617E4" w:rsidR="00002FFB" w:rsidRPr="000F2996" w:rsidRDefault="00002FFB" w:rsidP="00057AB6">
      <w:pPr>
        <w:spacing w:after="0" w:line="240" w:lineRule="auto"/>
      </w:pPr>
    </w:p>
    <w:p w14:paraId="70BF910B" w14:textId="7009C18E" w:rsidR="00190BF5" w:rsidRPr="000F2996" w:rsidRDefault="00190BF5" w:rsidP="00057AB6">
      <w:pPr>
        <w:spacing w:after="0" w:line="240" w:lineRule="auto"/>
        <w:rPr>
          <w:b/>
        </w:rPr>
      </w:pPr>
      <w:r w:rsidRPr="000F2996">
        <w:rPr>
          <w:b/>
        </w:rPr>
        <w:t>I. Datos generales</w:t>
      </w:r>
    </w:p>
    <w:tbl>
      <w:tblPr>
        <w:tblStyle w:val="Tablaconcuadrcula"/>
        <w:tblW w:w="0" w:type="auto"/>
        <w:tblLook w:val="04A0" w:firstRow="1" w:lastRow="0" w:firstColumn="1" w:lastColumn="0" w:noHBand="0" w:noVBand="1"/>
      </w:tblPr>
      <w:tblGrid>
        <w:gridCol w:w="3539"/>
        <w:gridCol w:w="4955"/>
      </w:tblGrid>
      <w:tr w:rsidR="00AF67C1" w:rsidRPr="000F2996" w14:paraId="0BECCDC2" w14:textId="77777777" w:rsidTr="000F2996">
        <w:tc>
          <w:tcPr>
            <w:tcW w:w="3539" w:type="dxa"/>
            <w:vAlign w:val="center"/>
          </w:tcPr>
          <w:p w14:paraId="3E0246CE" w14:textId="77777777" w:rsidR="00AF67C1" w:rsidRPr="000F2996" w:rsidRDefault="00AF67C1" w:rsidP="00AF67C1">
            <w:pPr>
              <w:rPr>
                <w:b/>
              </w:rPr>
            </w:pPr>
            <w:r w:rsidRPr="000F2996">
              <w:rPr>
                <w:b/>
              </w:rPr>
              <w:t>Nombre de la entidad pública:</w:t>
            </w:r>
          </w:p>
        </w:tc>
        <w:tc>
          <w:tcPr>
            <w:tcW w:w="4955" w:type="dxa"/>
            <w:vAlign w:val="center"/>
          </w:tcPr>
          <w:p w14:paraId="7863136A" w14:textId="599E5115" w:rsidR="00AF67C1" w:rsidRPr="000F2996" w:rsidRDefault="00AF67C1" w:rsidP="00AF67C1">
            <w:r w:rsidRPr="000F2996">
              <w:rPr>
                <w:rFonts w:ascii="Arial" w:hAnsi="Arial" w:cs="Arial"/>
                <w:color w:val="000000"/>
                <w:sz w:val="18"/>
                <w:szCs w:val="18"/>
              </w:rPr>
              <w:t>Ministerio de Educación</w:t>
            </w:r>
          </w:p>
        </w:tc>
      </w:tr>
      <w:tr w:rsidR="00AF67C1" w:rsidRPr="000F2996" w14:paraId="78C4B0FE" w14:textId="77777777" w:rsidTr="000F2996">
        <w:tc>
          <w:tcPr>
            <w:tcW w:w="3539" w:type="dxa"/>
            <w:vAlign w:val="center"/>
          </w:tcPr>
          <w:p w14:paraId="169E55E2" w14:textId="77777777" w:rsidR="00AF67C1" w:rsidRPr="000F2996" w:rsidRDefault="00AF67C1" w:rsidP="00AF67C1">
            <w:pPr>
              <w:rPr>
                <w:b/>
              </w:rPr>
            </w:pPr>
            <w:r w:rsidRPr="000F2996">
              <w:rPr>
                <w:b/>
              </w:rPr>
              <w:t>Órgano técnico normativo competente:</w:t>
            </w:r>
          </w:p>
        </w:tc>
        <w:tc>
          <w:tcPr>
            <w:tcW w:w="4955" w:type="dxa"/>
            <w:vAlign w:val="center"/>
          </w:tcPr>
          <w:p w14:paraId="535180BD" w14:textId="5F433760" w:rsidR="00AF67C1" w:rsidRPr="000F2996" w:rsidRDefault="00AF67C1" w:rsidP="00AF67C1">
            <w:r w:rsidRPr="000F2996">
              <w:rPr>
                <w:rFonts w:ascii="Arial" w:hAnsi="Arial" w:cs="Arial"/>
                <w:color w:val="000000"/>
                <w:sz w:val="18"/>
                <w:szCs w:val="18"/>
              </w:rPr>
              <w:t xml:space="preserve">Superintendencia Nacional de Educación </w:t>
            </w:r>
            <w:r w:rsidR="005D09C9" w:rsidRPr="000F2996">
              <w:rPr>
                <w:rFonts w:ascii="Arial" w:hAnsi="Arial" w:cs="Arial"/>
                <w:color w:val="000000"/>
                <w:sz w:val="18"/>
                <w:szCs w:val="18"/>
              </w:rPr>
              <w:t xml:space="preserve">Superior </w:t>
            </w:r>
            <w:r w:rsidRPr="000F2996">
              <w:rPr>
                <w:rFonts w:ascii="Arial" w:hAnsi="Arial" w:cs="Arial"/>
                <w:color w:val="000000"/>
                <w:sz w:val="18"/>
                <w:szCs w:val="18"/>
              </w:rPr>
              <w:t>Universitaria</w:t>
            </w:r>
          </w:p>
        </w:tc>
      </w:tr>
      <w:tr w:rsidR="00AF67C1" w:rsidRPr="000F2996" w14:paraId="683EEEB7" w14:textId="77777777" w:rsidTr="000F2996">
        <w:tc>
          <w:tcPr>
            <w:tcW w:w="3539" w:type="dxa"/>
            <w:vAlign w:val="center"/>
          </w:tcPr>
          <w:p w14:paraId="5AA4889A" w14:textId="4FC96860" w:rsidR="00AF67C1" w:rsidRPr="000F2996" w:rsidRDefault="00AF67C1" w:rsidP="00AF67C1">
            <w:pPr>
              <w:rPr>
                <w:b/>
              </w:rPr>
            </w:pPr>
            <w:r w:rsidRPr="000F2996">
              <w:rPr>
                <w:b/>
              </w:rPr>
              <w:t>Unidad Orgánica Responsable:</w:t>
            </w:r>
          </w:p>
        </w:tc>
        <w:tc>
          <w:tcPr>
            <w:tcW w:w="4955" w:type="dxa"/>
            <w:vAlign w:val="center"/>
          </w:tcPr>
          <w:p w14:paraId="75195781" w14:textId="00166FEC" w:rsidR="00AF67C1" w:rsidRPr="000F2996" w:rsidRDefault="00AF67C1" w:rsidP="00AF67C1">
            <w:r w:rsidRPr="000F2996">
              <w:rPr>
                <w:rFonts w:ascii="Arial" w:hAnsi="Arial" w:cs="Arial"/>
                <w:color w:val="000000"/>
                <w:sz w:val="18"/>
                <w:szCs w:val="18"/>
              </w:rPr>
              <w:t>Dirección General de Educación Superior Universitaria</w:t>
            </w:r>
          </w:p>
        </w:tc>
      </w:tr>
      <w:tr w:rsidR="00AF67C1" w:rsidRPr="000F2996" w14:paraId="4C312602" w14:textId="77777777" w:rsidTr="000F2996">
        <w:tc>
          <w:tcPr>
            <w:tcW w:w="3539" w:type="dxa"/>
            <w:vAlign w:val="center"/>
          </w:tcPr>
          <w:p w14:paraId="2CC6F46A" w14:textId="77777777" w:rsidR="00AF67C1" w:rsidRPr="000F2996" w:rsidRDefault="00AF67C1" w:rsidP="00AF67C1">
            <w:pPr>
              <w:rPr>
                <w:b/>
              </w:rPr>
            </w:pPr>
            <w:r w:rsidRPr="000F2996">
              <w:rPr>
                <w:b/>
              </w:rPr>
              <w:t>Sector:</w:t>
            </w:r>
          </w:p>
        </w:tc>
        <w:tc>
          <w:tcPr>
            <w:tcW w:w="4955" w:type="dxa"/>
            <w:vAlign w:val="center"/>
          </w:tcPr>
          <w:p w14:paraId="679B4EF6" w14:textId="3E744573" w:rsidR="00AF67C1" w:rsidRPr="000F2996" w:rsidRDefault="00AF67C1" w:rsidP="00AF67C1">
            <w:r w:rsidRPr="000F2996">
              <w:rPr>
                <w:rFonts w:ascii="Arial" w:hAnsi="Arial" w:cs="Arial"/>
                <w:color w:val="000000"/>
                <w:sz w:val="18"/>
                <w:szCs w:val="18"/>
              </w:rPr>
              <w:t>Educación</w:t>
            </w:r>
          </w:p>
        </w:tc>
      </w:tr>
      <w:tr w:rsidR="00AF67C1" w:rsidRPr="000F2996" w14:paraId="47CE98C0" w14:textId="77777777" w:rsidTr="000F2996">
        <w:tc>
          <w:tcPr>
            <w:tcW w:w="3539" w:type="dxa"/>
            <w:vAlign w:val="center"/>
          </w:tcPr>
          <w:p w14:paraId="148BF11F" w14:textId="77777777" w:rsidR="00AF67C1" w:rsidRPr="000F2996" w:rsidRDefault="00AF67C1" w:rsidP="00AF67C1">
            <w:pPr>
              <w:rPr>
                <w:b/>
              </w:rPr>
            </w:pPr>
            <w:r w:rsidRPr="000F2996">
              <w:rPr>
                <w:b/>
              </w:rPr>
              <w:t>Función:</w:t>
            </w:r>
          </w:p>
        </w:tc>
        <w:tc>
          <w:tcPr>
            <w:tcW w:w="4955" w:type="dxa"/>
            <w:vAlign w:val="center"/>
          </w:tcPr>
          <w:p w14:paraId="57ADF64C" w14:textId="0D993083" w:rsidR="00AF67C1" w:rsidRPr="000F2996" w:rsidRDefault="00AF67C1" w:rsidP="00AF67C1">
            <w:r w:rsidRPr="000F2996">
              <w:rPr>
                <w:rFonts w:ascii="Arial" w:hAnsi="Arial" w:cs="Arial"/>
                <w:color w:val="000000"/>
                <w:sz w:val="18"/>
                <w:szCs w:val="18"/>
              </w:rPr>
              <w:t xml:space="preserve">22 </w:t>
            </w:r>
            <w:proofErr w:type="gramStart"/>
            <w:r w:rsidRPr="000F2996">
              <w:rPr>
                <w:rFonts w:ascii="Arial" w:hAnsi="Arial" w:cs="Arial"/>
                <w:color w:val="000000"/>
                <w:sz w:val="18"/>
                <w:szCs w:val="18"/>
              </w:rPr>
              <w:t>Educación</w:t>
            </w:r>
            <w:proofErr w:type="gramEnd"/>
          </w:p>
        </w:tc>
      </w:tr>
      <w:tr w:rsidR="00AF67C1" w:rsidRPr="000F2996" w14:paraId="33B5D58C" w14:textId="77777777" w:rsidTr="000F2996">
        <w:tc>
          <w:tcPr>
            <w:tcW w:w="3539" w:type="dxa"/>
            <w:vAlign w:val="center"/>
          </w:tcPr>
          <w:p w14:paraId="5BC6E11B" w14:textId="77777777" w:rsidR="00AF67C1" w:rsidRPr="000F2996" w:rsidRDefault="00AF67C1" w:rsidP="00AF67C1">
            <w:pPr>
              <w:rPr>
                <w:b/>
              </w:rPr>
            </w:pPr>
            <w:r w:rsidRPr="000F2996">
              <w:rPr>
                <w:b/>
              </w:rPr>
              <w:t>División funcional:</w:t>
            </w:r>
          </w:p>
        </w:tc>
        <w:tc>
          <w:tcPr>
            <w:tcW w:w="4955" w:type="dxa"/>
            <w:vAlign w:val="center"/>
          </w:tcPr>
          <w:p w14:paraId="77B69D1A" w14:textId="48E6BC00" w:rsidR="00AF67C1" w:rsidRPr="000F2996" w:rsidRDefault="00AF67C1" w:rsidP="00AF67C1">
            <w:r w:rsidRPr="000F2996">
              <w:rPr>
                <w:rFonts w:ascii="Arial" w:hAnsi="Arial" w:cs="Arial"/>
                <w:color w:val="000000"/>
                <w:sz w:val="18"/>
                <w:szCs w:val="18"/>
              </w:rPr>
              <w:t>048 Educación Superior</w:t>
            </w:r>
          </w:p>
        </w:tc>
      </w:tr>
      <w:tr w:rsidR="00AF67C1" w:rsidRPr="000F2996" w14:paraId="2521A0EB" w14:textId="77777777" w:rsidTr="000F2996">
        <w:tc>
          <w:tcPr>
            <w:tcW w:w="3539" w:type="dxa"/>
            <w:vAlign w:val="center"/>
          </w:tcPr>
          <w:p w14:paraId="61CE334D" w14:textId="77777777" w:rsidR="00AF67C1" w:rsidRPr="000F2996" w:rsidRDefault="00AF67C1" w:rsidP="00AF67C1">
            <w:pPr>
              <w:rPr>
                <w:b/>
              </w:rPr>
            </w:pPr>
            <w:r w:rsidRPr="000F2996">
              <w:rPr>
                <w:b/>
              </w:rPr>
              <w:t xml:space="preserve">Grupo funcional: </w:t>
            </w:r>
          </w:p>
        </w:tc>
        <w:tc>
          <w:tcPr>
            <w:tcW w:w="4955" w:type="dxa"/>
            <w:vAlign w:val="center"/>
          </w:tcPr>
          <w:p w14:paraId="3E92E9D7" w14:textId="56C71E7F" w:rsidR="00AF67C1" w:rsidRPr="000F2996" w:rsidRDefault="00AF67C1" w:rsidP="00AF67C1">
            <w:r w:rsidRPr="000F2996">
              <w:rPr>
                <w:rFonts w:ascii="Arial" w:hAnsi="Arial" w:cs="Arial"/>
                <w:color w:val="000000"/>
                <w:sz w:val="18"/>
                <w:szCs w:val="18"/>
              </w:rPr>
              <w:t>0109 Educación Superior Universitaria</w:t>
            </w:r>
          </w:p>
        </w:tc>
      </w:tr>
      <w:tr w:rsidR="00AF67C1" w:rsidRPr="000F2996" w14:paraId="3E94C2B7" w14:textId="77777777" w:rsidTr="000F2996">
        <w:tc>
          <w:tcPr>
            <w:tcW w:w="3539" w:type="dxa"/>
            <w:vAlign w:val="center"/>
          </w:tcPr>
          <w:p w14:paraId="1627199C" w14:textId="77777777" w:rsidR="00AF67C1" w:rsidRPr="000F2996" w:rsidRDefault="00AF67C1" w:rsidP="00AF67C1">
            <w:pPr>
              <w:rPr>
                <w:b/>
              </w:rPr>
            </w:pPr>
            <w:r w:rsidRPr="000F2996">
              <w:rPr>
                <w:b/>
              </w:rPr>
              <w:t>Servicio asociado:</w:t>
            </w:r>
          </w:p>
        </w:tc>
        <w:tc>
          <w:tcPr>
            <w:tcW w:w="4955" w:type="dxa"/>
            <w:vAlign w:val="center"/>
          </w:tcPr>
          <w:p w14:paraId="750E3F06" w14:textId="2FE9C774" w:rsidR="00AF67C1" w:rsidRPr="000F2996" w:rsidRDefault="00AF67C1" w:rsidP="00AF67C1">
            <w:r w:rsidRPr="000F2996">
              <w:rPr>
                <w:rFonts w:ascii="Arial" w:hAnsi="Arial" w:cs="Arial"/>
                <w:color w:val="000000"/>
                <w:sz w:val="18"/>
                <w:szCs w:val="18"/>
              </w:rPr>
              <w:t>Servicio de Formación de Pregrado en Educación Superior Universitaria</w:t>
            </w:r>
          </w:p>
        </w:tc>
      </w:tr>
      <w:tr w:rsidR="00AF67C1" w:rsidRPr="000F2996" w14:paraId="1734AC67" w14:textId="77777777" w:rsidTr="000F2996">
        <w:tc>
          <w:tcPr>
            <w:tcW w:w="3539" w:type="dxa"/>
            <w:vAlign w:val="center"/>
          </w:tcPr>
          <w:p w14:paraId="6BFEB1EE" w14:textId="77777777" w:rsidR="00AF67C1" w:rsidRPr="000F2996" w:rsidRDefault="00AF67C1" w:rsidP="00AF67C1">
            <w:pPr>
              <w:rPr>
                <w:b/>
              </w:rPr>
            </w:pPr>
            <w:r w:rsidRPr="000F2996">
              <w:rPr>
                <w:b/>
              </w:rPr>
              <w:t>Tipología de proyecto de inversión:</w:t>
            </w:r>
          </w:p>
        </w:tc>
        <w:tc>
          <w:tcPr>
            <w:tcW w:w="4955" w:type="dxa"/>
            <w:vAlign w:val="center"/>
          </w:tcPr>
          <w:p w14:paraId="24FCF44B" w14:textId="36957466" w:rsidR="00AF67C1" w:rsidRPr="000F2996" w:rsidRDefault="00AF67C1" w:rsidP="00AF67C1">
            <w:pPr>
              <w:tabs>
                <w:tab w:val="left" w:pos="3110"/>
              </w:tabs>
            </w:pPr>
            <w:r w:rsidRPr="000F2996">
              <w:rPr>
                <w:rFonts w:ascii="Arial" w:hAnsi="Arial" w:cs="Arial"/>
                <w:color w:val="000000"/>
                <w:sz w:val="18"/>
                <w:szCs w:val="18"/>
              </w:rPr>
              <w:t>Educación Superior Universitaria de nivel de Pregrado</w:t>
            </w:r>
          </w:p>
        </w:tc>
      </w:tr>
    </w:tbl>
    <w:p w14:paraId="5AC6A603" w14:textId="478C2ED0" w:rsidR="00002FFB" w:rsidRPr="000F2996" w:rsidRDefault="00002FFB" w:rsidP="00057AB6">
      <w:pPr>
        <w:spacing w:after="0" w:line="240" w:lineRule="auto"/>
      </w:pPr>
    </w:p>
    <w:p w14:paraId="67ECB63B" w14:textId="22F95F4E" w:rsidR="00190BF5" w:rsidRPr="000F2996" w:rsidRDefault="00190BF5" w:rsidP="00057AB6">
      <w:pPr>
        <w:spacing w:after="0" w:line="240" w:lineRule="auto"/>
        <w:rPr>
          <w:b/>
        </w:rPr>
      </w:pPr>
      <w:r w:rsidRPr="000F2996">
        <w:rPr>
          <w:b/>
        </w:rPr>
        <w:t xml:space="preserve">II. </w:t>
      </w:r>
      <w:r w:rsidR="007F2000" w:rsidRPr="000F2996">
        <w:rPr>
          <w:b/>
        </w:rPr>
        <w:t>Datos</w:t>
      </w:r>
      <w:r w:rsidRPr="000F2996">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363DEB" w14:paraId="3112AB4A" w14:textId="77777777" w:rsidTr="60C47A6D">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363DEB" w:rsidRDefault="00F95B43" w:rsidP="00190BF5">
            <w:pPr>
              <w:rPr>
                <w:b/>
              </w:rPr>
            </w:pPr>
            <w:r w:rsidRPr="00363DEB">
              <w:rPr>
                <w:b/>
              </w:rPr>
              <w:t xml:space="preserve">Definición del Servicio </w:t>
            </w:r>
            <w:r w:rsidR="00190BF5" w:rsidRPr="00363DEB">
              <w:rPr>
                <w:b/>
              </w:rPr>
              <w:t>con brecha priorizada</w:t>
            </w:r>
          </w:p>
        </w:tc>
      </w:tr>
      <w:tr w:rsidR="00057AB6" w:rsidRPr="00A23CEF" w14:paraId="5E448942" w14:textId="77777777" w:rsidTr="60C47A6D">
        <w:trPr>
          <w:trHeight w:val="841"/>
        </w:trPr>
        <w:tc>
          <w:tcPr>
            <w:tcW w:w="8529" w:type="dxa"/>
            <w:tcBorders>
              <w:left w:val="single" w:sz="4" w:space="0" w:color="auto"/>
            </w:tcBorders>
          </w:tcPr>
          <w:p w14:paraId="066E8B4B" w14:textId="77777777" w:rsidR="007F2000" w:rsidRPr="00363DEB" w:rsidRDefault="007F2000" w:rsidP="00190BF5">
            <w:pPr>
              <w:rPr>
                <w:b/>
              </w:rPr>
            </w:pPr>
          </w:p>
          <w:p w14:paraId="1FFEEB49" w14:textId="53C9F951" w:rsidR="00002FFB" w:rsidRPr="00363DEB" w:rsidRDefault="00F95B43" w:rsidP="00190BF5">
            <w:r w:rsidRPr="00363DEB">
              <w:rPr>
                <w:b/>
              </w:rPr>
              <w:t>Descripción</w:t>
            </w:r>
            <w:r w:rsidRPr="00363DEB">
              <w:t>:</w:t>
            </w:r>
          </w:p>
          <w:p w14:paraId="11950CE4" w14:textId="77777777" w:rsidR="00002FFB" w:rsidRPr="00363DEB" w:rsidRDefault="00002FFB" w:rsidP="00057AB6">
            <w:pPr>
              <w:pStyle w:val="Prrafodelista"/>
              <w:ind w:left="313"/>
            </w:pPr>
          </w:p>
          <w:p w14:paraId="47648F22" w14:textId="77777777" w:rsidR="00AF67C1" w:rsidRPr="00363DEB" w:rsidRDefault="00AF67C1" w:rsidP="00AF67C1">
            <w:pPr>
              <w:jc w:val="both"/>
              <w:rPr>
                <w:b/>
              </w:rPr>
            </w:pPr>
            <w:r w:rsidRPr="00363DEB">
              <w:rPr>
                <w:b/>
              </w:rPr>
              <w:t>Servicio de Formación de Pregrado en Educación Superior Universitaria</w:t>
            </w:r>
          </w:p>
          <w:p w14:paraId="2C740ECC" w14:textId="77777777" w:rsidR="0051223C" w:rsidRPr="00954624" w:rsidRDefault="0051223C" w:rsidP="00AF67C1">
            <w:pPr>
              <w:jc w:val="both"/>
              <w:rPr>
                <w:b/>
              </w:rPr>
            </w:pPr>
          </w:p>
          <w:p w14:paraId="77D3E9D5" w14:textId="4A1468A9" w:rsidR="00AF67C1" w:rsidRPr="00954624" w:rsidRDefault="004927E7" w:rsidP="00AF67C1">
            <w:pPr>
              <w:jc w:val="both"/>
            </w:pPr>
            <w:r w:rsidRPr="00954624">
              <w:t>Los estudios de pregrado</w:t>
            </w:r>
            <w:r w:rsidR="00F73F1E" w:rsidRPr="00954624">
              <w:t xml:space="preserve"> </w:t>
            </w:r>
            <w:r w:rsidRPr="00954624">
              <w:t>proporcionan los conocimientos propios de la profesión y especialidad correspondiente</w:t>
            </w:r>
            <w:r w:rsidR="008E70E1" w:rsidRPr="00954624">
              <w:t>.</w:t>
            </w:r>
          </w:p>
          <w:p w14:paraId="404C8190" w14:textId="77777777" w:rsidR="0051223C" w:rsidRPr="00954624" w:rsidRDefault="0051223C" w:rsidP="00AF67C1">
            <w:pPr>
              <w:jc w:val="both"/>
              <w:rPr>
                <w:b/>
              </w:rPr>
            </w:pPr>
          </w:p>
          <w:p w14:paraId="64CB664D" w14:textId="57D8389E" w:rsidR="00EA5E5C" w:rsidRPr="00954624" w:rsidRDefault="00AF67C1" w:rsidP="00AF67C1">
            <w:pPr>
              <w:jc w:val="both"/>
            </w:pPr>
            <w:r w:rsidRPr="00954624">
              <w:t>Este servicio representa la primera etapa del proceso formativo de la educación superior universitaria, conducente al grado de bachiller. Se desarrolla en las Escuelas Profesionales, que es la organización encargada del diseño y actualización curricular de una carrera profesional, así como de dirigir su aplicación para la formación y capacitación pertinente, hasta la obtención de grado académico y título profesional correspondiente.  Se enmarca en la función de Formación Profesional.</w:t>
            </w:r>
            <w:r w:rsidR="00F54E93" w:rsidRPr="00954624">
              <w:t xml:space="preserve"> </w:t>
            </w:r>
            <w:r w:rsidR="009B3D31" w:rsidRPr="00954624">
              <w:t>(Norma 1)</w:t>
            </w:r>
          </w:p>
          <w:p w14:paraId="0438F62C" w14:textId="77777777" w:rsidR="008C3ECE" w:rsidRPr="00954624" w:rsidRDefault="008C3ECE" w:rsidP="00190BF5">
            <w:pPr>
              <w:rPr>
                <w:b/>
              </w:rPr>
            </w:pPr>
          </w:p>
          <w:p w14:paraId="51AB472C" w14:textId="68E3BF90" w:rsidR="00002FFB" w:rsidRPr="00954624" w:rsidRDefault="00F95B43" w:rsidP="00190BF5">
            <w:pPr>
              <w:rPr>
                <w:b/>
              </w:rPr>
            </w:pPr>
            <w:r w:rsidRPr="00954624">
              <w:rPr>
                <w:b/>
              </w:rPr>
              <w:t>Norma Legal:</w:t>
            </w:r>
          </w:p>
          <w:p w14:paraId="32D64C1C" w14:textId="588D84EA" w:rsidR="00002FFB" w:rsidRPr="00954624" w:rsidRDefault="00002FFB" w:rsidP="00AF67C1"/>
          <w:p w14:paraId="7927A0AF" w14:textId="2B5FDA59" w:rsidR="00AF67C1" w:rsidRPr="00954624" w:rsidRDefault="00AF67C1" w:rsidP="00D57CB8">
            <w:pPr>
              <w:jc w:val="both"/>
            </w:pPr>
            <w:r w:rsidRPr="00954624">
              <w:t>(</w:t>
            </w:r>
            <w:r w:rsidR="000A56B4" w:rsidRPr="00954624">
              <w:t xml:space="preserve">Norma </w:t>
            </w:r>
            <w:r w:rsidRPr="00954624">
              <w:t xml:space="preserve">1) </w:t>
            </w:r>
            <w:r w:rsidR="0051223C" w:rsidRPr="00954624">
              <w:t xml:space="preserve">Artículos 36 </w:t>
            </w:r>
            <w:r w:rsidR="7B4A3EF3" w:rsidRPr="00954624">
              <w:t xml:space="preserve">y 40 </w:t>
            </w:r>
            <w:r w:rsidR="0051223C" w:rsidRPr="00954624">
              <w:t xml:space="preserve">de la </w:t>
            </w:r>
            <w:r w:rsidRPr="00954624">
              <w:t xml:space="preserve">Ley </w:t>
            </w:r>
            <w:proofErr w:type="spellStart"/>
            <w:r w:rsidRPr="00954624">
              <w:t>N°</w:t>
            </w:r>
            <w:proofErr w:type="spellEnd"/>
            <w:r w:rsidRPr="00954624">
              <w:t xml:space="preserve"> 30220, Ley Universitaria</w:t>
            </w:r>
            <w:r w:rsidR="004927E7" w:rsidRPr="00954624">
              <w:t xml:space="preserve"> y sus modificatorias.</w:t>
            </w:r>
          </w:p>
          <w:p w14:paraId="79F9AADF" w14:textId="2C84BC7E" w:rsidR="007F2000" w:rsidRPr="00954624" w:rsidRDefault="00AF67C1" w:rsidP="00D57CB8">
            <w:pPr>
              <w:rPr>
                <w:lang w:val="en-AU"/>
              </w:rPr>
            </w:pPr>
            <w:r w:rsidRPr="00954624">
              <w:rPr>
                <w:lang w:val="en-AU"/>
              </w:rPr>
              <w:t xml:space="preserve">Link: </w:t>
            </w:r>
            <w:r w:rsidR="0051223C" w:rsidRPr="00954624">
              <w:rPr>
                <w:color w:val="0070C0"/>
                <w:u w:val="single"/>
                <w:lang w:val="en-AU"/>
              </w:rPr>
              <w:t>https://www.gob.pe/institucion/minedu/normas-legales/118482-30220</w:t>
            </w:r>
          </w:p>
          <w:p w14:paraId="67C07B3C" w14:textId="31E7E2B4" w:rsidR="002853CE" w:rsidRPr="000F2996" w:rsidRDefault="002853CE" w:rsidP="00EA5E5C">
            <w:pPr>
              <w:pStyle w:val="Prrafodelista"/>
              <w:ind w:left="673"/>
              <w:jc w:val="both"/>
              <w:rPr>
                <w:highlight w:val="yellow"/>
                <w:lang w:val="en-US"/>
              </w:rPr>
            </w:pPr>
          </w:p>
        </w:tc>
      </w:tr>
      <w:tr w:rsidR="00057AB6" w:rsidRPr="000F2996" w14:paraId="509F030F" w14:textId="77777777" w:rsidTr="60C47A6D">
        <w:trPr>
          <w:trHeight w:val="260"/>
        </w:trPr>
        <w:tc>
          <w:tcPr>
            <w:tcW w:w="8529" w:type="dxa"/>
            <w:tcBorders>
              <w:left w:val="single" w:sz="4" w:space="0" w:color="auto"/>
            </w:tcBorders>
            <w:shd w:val="clear" w:color="auto" w:fill="000000" w:themeFill="text1"/>
          </w:tcPr>
          <w:p w14:paraId="203FF4CC" w14:textId="2143D298" w:rsidR="00002FFB" w:rsidRPr="00954624" w:rsidRDefault="00190BF5" w:rsidP="00057AB6">
            <w:r w:rsidRPr="00954624">
              <w:rPr>
                <w:b/>
              </w:rPr>
              <w:t>Nivel</w:t>
            </w:r>
            <w:r w:rsidR="00F95B43" w:rsidRPr="00954624">
              <w:rPr>
                <w:b/>
              </w:rPr>
              <w:t xml:space="preserve"> de Servicio</w:t>
            </w:r>
          </w:p>
        </w:tc>
      </w:tr>
      <w:tr w:rsidR="00057AB6" w:rsidRPr="00A23CEF" w14:paraId="5AFB2F64" w14:textId="77777777" w:rsidTr="60C47A6D">
        <w:trPr>
          <w:trHeight w:val="260"/>
        </w:trPr>
        <w:tc>
          <w:tcPr>
            <w:tcW w:w="8529" w:type="dxa"/>
            <w:tcBorders>
              <w:left w:val="single" w:sz="4" w:space="0" w:color="auto"/>
            </w:tcBorders>
          </w:tcPr>
          <w:p w14:paraId="01BB1C53" w14:textId="77777777" w:rsidR="00EA5E5C" w:rsidRPr="00954624" w:rsidRDefault="00EA5E5C" w:rsidP="00190BF5">
            <w:pPr>
              <w:rPr>
                <w:b/>
              </w:rPr>
            </w:pPr>
          </w:p>
          <w:p w14:paraId="7F454531" w14:textId="6F13B20F" w:rsidR="00002FFB" w:rsidRPr="00954624" w:rsidRDefault="00F95B43" w:rsidP="00190BF5">
            <w:r w:rsidRPr="00954624">
              <w:rPr>
                <w:b/>
              </w:rPr>
              <w:t>Descripción</w:t>
            </w:r>
            <w:r w:rsidRPr="00954624">
              <w:t>:</w:t>
            </w:r>
          </w:p>
          <w:p w14:paraId="1883D4F3" w14:textId="77777777" w:rsidR="00F73F1E" w:rsidRPr="00954624" w:rsidRDefault="00F73F1E" w:rsidP="00190BF5"/>
          <w:p w14:paraId="36B447FA" w14:textId="776B27D2" w:rsidR="00F73F1E" w:rsidRPr="00954624" w:rsidRDefault="00F73F1E" w:rsidP="00F73F1E">
            <w:pPr>
              <w:jc w:val="both"/>
            </w:pPr>
            <w:r w:rsidRPr="00954624">
              <w:t>En el marco del Sistema Nacional de Programación Multianual y Gestión de Inversiones (SNPMGI) se identificó el siguiente nivel de servicio para el Servicio de Formación de Pregrado en Educación Superior Universitaria:</w:t>
            </w:r>
          </w:p>
          <w:p w14:paraId="5704BF3B" w14:textId="77777777" w:rsidR="00F73F1E" w:rsidRPr="00954624" w:rsidRDefault="00F73F1E" w:rsidP="00190BF5"/>
          <w:p w14:paraId="34993785" w14:textId="144D4179" w:rsidR="000E33B2" w:rsidRPr="00954624" w:rsidRDefault="000E33B2" w:rsidP="00A23CEF">
            <w:pPr>
              <w:pStyle w:val="Prrafodelista"/>
              <w:numPr>
                <w:ilvl w:val="0"/>
                <w:numId w:val="30"/>
              </w:numPr>
              <w:ind w:left="308" w:hanging="142"/>
              <w:rPr>
                <w:b/>
              </w:rPr>
            </w:pPr>
            <w:r w:rsidRPr="00954624">
              <w:rPr>
                <w:b/>
              </w:rPr>
              <w:t>Nivel de servicio para estudios de pregrado</w:t>
            </w:r>
          </w:p>
          <w:p w14:paraId="1F7C547A" w14:textId="77777777" w:rsidR="00002FFB" w:rsidRPr="00954624" w:rsidRDefault="00002FFB" w:rsidP="00057AB6">
            <w:pPr>
              <w:pStyle w:val="Prrafodelista"/>
              <w:ind w:left="1080"/>
              <w:rPr>
                <w:sz w:val="14"/>
              </w:rPr>
            </w:pPr>
          </w:p>
          <w:p w14:paraId="6DD7D86F" w14:textId="4157AF39" w:rsidR="00AF67C1" w:rsidRPr="00954624" w:rsidRDefault="00AF67C1" w:rsidP="00AF67C1">
            <w:pPr>
              <w:jc w:val="both"/>
            </w:pPr>
            <w:r w:rsidRPr="00954624">
              <w:t xml:space="preserve">Para el servicio de Formación de Pregrado en Educación Superior Universitaria, según lo establecido en los artículos 40, 41 y 42 de la Ley </w:t>
            </w:r>
            <w:proofErr w:type="spellStart"/>
            <w:r w:rsidRPr="00954624">
              <w:t>N°</w:t>
            </w:r>
            <w:proofErr w:type="spellEnd"/>
            <w:r w:rsidRPr="00954624">
              <w:t xml:space="preserve"> 30220, Ley Universitaria</w:t>
            </w:r>
            <w:r w:rsidR="008E70E1" w:rsidRPr="00954624">
              <w:t xml:space="preserve"> y sus modificatorias</w:t>
            </w:r>
            <w:r w:rsidRPr="00954624">
              <w:t>, se desprendería un único nivel de servicio:</w:t>
            </w:r>
          </w:p>
          <w:p w14:paraId="0C96F990" w14:textId="77777777" w:rsidR="00AF67C1" w:rsidRPr="000F2996" w:rsidRDefault="00AF67C1" w:rsidP="00AF67C1">
            <w:pPr>
              <w:jc w:val="both"/>
              <w:rPr>
                <w:highlight w:val="yellow"/>
              </w:rPr>
            </w:pPr>
          </w:p>
          <w:p w14:paraId="16F0B7B2" w14:textId="4CD8B6EC" w:rsidR="00AF67C1" w:rsidRPr="00437F41" w:rsidRDefault="60C47A6D" w:rsidP="00AF67C1">
            <w:pPr>
              <w:jc w:val="both"/>
            </w:pPr>
            <w:r w:rsidRPr="00437F41">
              <w:t xml:space="preserve">Estudios de pregrado: Cada universidad determina el diseño curricular de cada especialidad, en los niveles de enseñanza respectivos, de acuerdo con las necesidades nacionales y regionales que contribuyan al desarrollo del país. Los estudios de pregrado comprenden los estudios generales y los estudios específicos y de especialidad. Tienen una duración mínima de cinco años. Se realizan un máximo de dos semestres académicos por año. </w:t>
            </w:r>
          </w:p>
          <w:p w14:paraId="706B554A" w14:textId="77777777" w:rsidR="000E33B2" w:rsidRPr="00437F41" w:rsidRDefault="000E33B2" w:rsidP="000E33B2">
            <w:pPr>
              <w:jc w:val="both"/>
            </w:pPr>
          </w:p>
          <w:p w14:paraId="163BC8EA" w14:textId="66DDD084" w:rsidR="00AF67C1" w:rsidRPr="00437F41" w:rsidRDefault="00AF67C1" w:rsidP="000E33B2">
            <w:pPr>
              <w:pStyle w:val="Prrafodelista"/>
              <w:numPr>
                <w:ilvl w:val="0"/>
                <w:numId w:val="32"/>
              </w:numPr>
              <w:jc w:val="both"/>
            </w:pPr>
            <w:r w:rsidRPr="00437F41">
              <w:t>Estudios Generales: Los estudios generales son obligatorios. Tienen una duración no menor de 35 créditos. Deben estar dirigidos a la formación integral de los estudiantes.</w:t>
            </w:r>
          </w:p>
          <w:p w14:paraId="0E976DC3" w14:textId="77777777" w:rsidR="00AF67C1" w:rsidRPr="00437F41" w:rsidRDefault="00AF67C1" w:rsidP="00AF67C1">
            <w:pPr>
              <w:jc w:val="both"/>
            </w:pPr>
          </w:p>
          <w:p w14:paraId="625A8085" w14:textId="366FF3E9" w:rsidR="00AF67C1" w:rsidRPr="00437F41" w:rsidRDefault="00AF67C1" w:rsidP="000E33B2">
            <w:pPr>
              <w:pStyle w:val="Prrafodelista"/>
              <w:numPr>
                <w:ilvl w:val="0"/>
                <w:numId w:val="32"/>
              </w:numPr>
              <w:jc w:val="both"/>
            </w:pPr>
            <w:r w:rsidRPr="00437F41">
              <w:t>Estudios específicos y de especialidad: Son los estudios que proporcionan los conocimientos propios de la profesión y especialidad correspondiente. El periodo de estudios debe tener una duración no menor de ciento sesenta y cinco (165) créditos.</w:t>
            </w:r>
            <w:r w:rsidR="2CD42A57" w:rsidRPr="00437F41">
              <w:t xml:space="preserve"> (Norma 2)</w:t>
            </w:r>
          </w:p>
          <w:p w14:paraId="45014E60" w14:textId="77777777" w:rsidR="00AF67C1" w:rsidRPr="00437F41" w:rsidRDefault="00AF67C1" w:rsidP="00AF67C1">
            <w:pPr>
              <w:jc w:val="both"/>
            </w:pPr>
          </w:p>
          <w:p w14:paraId="5347411B" w14:textId="0813CA09" w:rsidR="2E7AD550" w:rsidRPr="00437F41" w:rsidRDefault="2E7AD550" w:rsidP="56EC7DC2">
            <w:pPr>
              <w:spacing w:after="240"/>
              <w:jc w:val="both"/>
            </w:pPr>
            <w:r w:rsidRPr="00437F41">
              <w:t xml:space="preserve">El servicio educativo superior universitario </w:t>
            </w:r>
            <w:r w:rsidR="1F4AC19C" w:rsidRPr="00437F41">
              <w:t xml:space="preserve">debe ofrecerse </w:t>
            </w:r>
            <w:r w:rsidR="2B78CE69" w:rsidRPr="00437F41">
              <w:t>cumpliendo</w:t>
            </w:r>
            <w:r w:rsidR="1F4AC19C" w:rsidRPr="00437F41">
              <w:t xml:space="preserve"> condiciones básicas de calidad, </w:t>
            </w:r>
            <w:r w:rsidR="2E325654" w:rsidRPr="00437F41">
              <w:t xml:space="preserve">por ello </w:t>
            </w:r>
            <w:r w:rsidR="1F4AC19C" w:rsidRPr="00437F41">
              <w:t xml:space="preserve">el </w:t>
            </w:r>
            <w:r w:rsidRPr="00437F41">
              <w:t xml:space="preserve">licenciamiento es el procedimiento que tiene como objetivo verificar el cumplimiento de </w:t>
            </w:r>
            <w:r w:rsidR="06E1169B" w:rsidRPr="00437F41">
              <w:t xml:space="preserve">dichas condiciones </w:t>
            </w:r>
            <w:r w:rsidRPr="00437F41">
              <w:t>y autorizar el funcionamiento de las universidades</w:t>
            </w:r>
            <w:r w:rsidR="00BB3A05" w:rsidRPr="00437F41">
              <w:t>.</w:t>
            </w:r>
            <w:r w:rsidRPr="00437F41">
              <w:t xml:space="preserve"> (Norma </w:t>
            </w:r>
            <w:r w:rsidR="173F55D1" w:rsidRPr="00437F41">
              <w:t>3</w:t>
            </w:r>
            <w:r w:rsidRPr="00437F41">
              <w:t>)</w:t>
            </w:r>
          </w:p>
          <w:p w14:paraId="2C70D392" w14:textId="2202D086" w:rsidR="00002FFB" w:rsidRPr="00437F41" w:rsidRDefault="00F95B43" w:rsidP="00190BF5">
            <w:pPr>
              <w:rPr>
                <w:b/>
              </w:rPr>
            </w:pPr>
            <w:r w:rsidRPr="00437F41">
              <w:rPr>
                <w:b/>
              </w:rPr>
              <w:t xml:space="preserve">Norma </w:t>
            </w:r>
            <w:r w:rsidR="00B72BD7" w:rsidRPr="00437F41">
              <w:rPr>
                <w:b/>
              </w:rPr>
              <w:t>Legal</w:t>
            </w:r>
            <w:r w:rsidRPr="00437F41">
              <w:rPr>
                <w:b/>
              </w:rPr>
              <w:t>:</w:t>
            </w:r>
          </w:p>
          <w:p w14:paraId="7F715D01" w14:textId="51282785" w:rsidR="00886B02" w:rsidRPr="00437F41" w:rsidRDefault="00886B02" w:rsidP="000E33B2">
            <w:pPr>
              <w:rPr>
                <w:b/>
              </w:rPr>
            </w:pPr>
          </w:p>
          <w:p w14:paraId="55D437C4" w14:textId="45F234DD" w:rsidR="000E33B2" w:rsidRPr="00437F41" w:rsidRDefault="000E33B2" w:rsidP="000E33B2">
            <w:r w:rsidRPr="00437F41">
              <w:t>(</w:t>
            </w:r>
            <w:r w:rsidR="000A56B4" w:rsidRPr="00437F41">
              <w:t xml:space="preserve">Norma </w:t>
            </w:r>
            <w:r w:rsidRPr="00437F41">
              <w:t>2)</w:t>
            </w:r>
            <w:r w:rsidR="000A56B4" w:rsidRPr="00437F41">
              <w:t>:</w:t>
            </w:r>
            <w:r w:rsidRPr="00437F41">
              <w:t xml:space="preserve"> Artículos 40, 41 y 42 de la Ley </w:t>
            </w:r>
            <w:proofErr w:type="spellStart"/>
            <w:r w:rsidRPr="00437F41">
              <w:t>N°</w:t>
            </w:r>
            <w:proofErr w:type="spellEnd"/>
            <w:r w:rsidRPr="00437F41">
              <w:t xml:space="preserve"> 30220, Ley Universitaria</w:t>
            </w:r>
            <w:r w:rsidR="008E70E1" w:rsidRPr="00437F41">
              <w:t xml:space="preserve"> y sus modificatorias.</w:t>
            </w:r>
          </w:p>
          <w:p w14:paraId="496C36D0" w14:textId="739967D2" w:rsidR="000E33B2" w:rsidRPr="00437F41" w:rsidRDefault="004A325E" w:rsidP="000E33B2">
            <w:pPr>
              <w:rPr>
                <w:u w:val="single"/>
                <w:lang w:val="en-AU"/>
              </w:rPr>
            </w:pPr>
            <w:r w:rsidRPr="00437F41">
              <w:rPr>
                <w:lang w:val="en-AU"/>
              </w:rPr>
              <w:t xml:space="preserve">Link: </w:t>
            </w:r>
            <w:r w:rsidR="0051223C" w:rsidRPr="00437F41">
              <w:rPr>
                <w:color w:val="0070C0"/>
                <w:u w:val="single"/>
                <w:lang w:val="en-AU"/>
              </w:rPr>
              <w:t>https://www.gob.pe/institucion/minedu/normas-legales/118482-30220</w:t>
            </w:r>
          </w:p>
          <w:p w14:paraId="577FB6E2" w14:textId="77777777" w:rsidR="000E33B2" w:rsidRPr="00437F41" w:rsidRDefault="000E33B2" w:rsidP="000E33B2">
            <w:pPr>
              <w:rPr>
                <w:lang w:val="en-AU"/>
              </w:rPr>
            </w:pPr>
          </w:p>
          <w:p w14:paraId="62A83C21" w14:textId="45E12207" w:rsidR="3DE3C106" w:rsidRPr="00437F41" w:rsidRDefault="3DE3C106" w:rsidP="56EC7DC2">
            <w:pPr>
              <w:rPr>
                <w:lang w:val="es-ES"/>
              </w:rPr>
            </w:pPr>
            <w:r w:rsidRPr="00437F41">
              <w:rPr>
                <w:lang w:val="es-ES"/>
              </w:rPr>
              <w:t xml:space="preserve">(Norma 3): Artículo 13 de la Ley </w:t>
            </w:r>
            <w:proofErr w:type="spellStart"/>
            <w:r w:rsidRPr="00437F41">
              <w:rPr>
                <w:lang w:val="es-ES"/>
              </w:rPr>
              <w:t>N°</w:t>
            </w:r>
            <w:proofErr w:type="spellEnd"/>
            <w:r w:rsidRPr="00437F41">
              <w:rPr>
                <w:lang w:val="es-ES"/>
              </w:rPr>
              <w:t xml:space="preserve"> 30220, Ley Universitaria y sus modificatorias.</w:t>
            </w:r>
          </w:p>
          <w:p w14:paraId="3B1DA457" w14:textId="739967D2" w:rsidR="444ECF88" w:rsidRPr="00437F41" w:rsidRDefault="444ECF88" w:rsidP="56EC7DC2">
            <w:pPr>
              <w:rPr>
                <w:u w:val="single"/>
                <w:lang w:val="en-AU"/>
              </w:rPr>
            </w:pPr>
            <w:r w:rsidRPr="00437F41">
              <w:rPr>
                <w:lang w:val="en-AU"/>
              </w:rPr>
              <w:t xml:space="preserve">Link: </w:t>
            </w:r>
            <w:r w:rsidRPr="00437F41">
              <w:rPr>
                <w:color w:val="0070C0"/>
                <w:u w:val="single"/>
                <w:lang w:val="en-AU"/>
              </w:rPr>
              <w:t>https://www.gob.pe/institucion/minedu/normas-legales/118482-30220</w:t>
            </w:r>
          </w:p>
          <w:p w14:paraId="214479A3" w14:textId="77777777" w:rsidR="005B4C21" w:rsidRPr="000F2996" w:rsidRDefault="005B4C21" w:rsidP="00057AB6">
            <w:pPr>
              <w:rPr>
                <w:sz w:val="12"/>
                <w:highlight w:val="yellow"/>
                <w:lang w:val="en-AU"/>
              </w:rPr>
            </w:pPr>
          </w:p>
        </w:tc>
      </w:tr>
      <w:tr w:rsidR="00057AB6" w:rsidRPr="000F2996" w14:paraId="08632259" w14:textId="77777777" w:rsidTr="60C47A6D">
        <w:trPr>
          <w:trHeight w:val="260"/>
        </w:trPr>
        <w:tc>
          <w:tcPr>
            <w:tcW w:w="8529" w:type="dxa"/>
            <w:tcBorders>
              <w:left w:val="single" w:sz="4" w:space="0" w:color="auto"/>
            </w:tcBorders>
            <w:shd w:val="clear" w:color="auto" w:fill="000000" w:themeFill="text1"/>
          </w:tcPr>
          <w:p w14:paraId="7155EC9C" w14:textId="41F2C991" w:rsidR="00002FFB" w:rsidRPr="000F2996" w:rsidRDefault="00F95B43" w:rsidP="00057AB6">
            <w:pPr>
              <w:rPr>
                <w:highlight w:val="yellow"/>
              </w:rPr>
            </w:pPr>
            <w:r w:rsidRPr="00437F41">
              <w:rPr>
                <w:b/>
              </w:rPr>
              <w:lastRenderedPageBreak/>
              <w:t>Estándares de Calidad</w:t>
            </w:r>
          </w:p>
        </w:tc>
      </w:tr>
      <w:tr w:rsidR="00002FFB" w:rsidRPr="009B0D75" w14:paraId="094E85F5" w14:textId="77777777" w:rsidTr="60C47A6D">
        <w:trPr>
          <w:trHeight w:val="260"/>
        </w:trPr>
        <w:tc>
          <w:tcPr>
            <w:tcW w:w="8529" w:type="dxa"/>
            <w:tcBorders>
              <w:left w:val="single" w:sz="4" w:space="0" w:color="auto"/>
              <w:bottom w:val="single" w:sz="4" w:space="0" w:color="auto"/>
            </w:tcBorders>
          </w:tcPr>
          <w:p w14:paraId="0025B947" w14:textId="26234E9E" w:rsidR="00EA5E5C" w:rsidRPr="00F3439C" w:rsidRDefault="00EA5E5C" w:rsidP="00B72BD7">
            <w:pPr>
              <w:rPr>
                <w:b/>
              </w:rPr>
            </w:pPr>
          </w:p>
          <w:p w14:paraId="5E29659B" w14:textId="42417737" w:rsidR="00002FFB" w:rsidRPr="00F3439C" w:rsidRDefault="00F95B43" w:rsidP="00B72BD7">
            <w:r w:rsidRPr="00F3439C">
              <w:rPr>
                <w:b/>
              </w:rPr>
              <w:t>Descripción</w:t>
            </w:r>
            <w:r w:rsidRPr="00F3439C">
              <w:t>:</w:t>
            </w:r>
          </w:p>
          <w:p w14:paraId="6E67B79C" w14:textId="77777777" w:rsidR="0051223C" w:rsidRPr="00F3439C" w:rsidRDefault="0051223C" w:rsidP="00B72BD7"/>
          <w:p w14:paraId="42C338AB" w14:textId="387D8470" w:rsidR="004F68B5" w:rsidRPr="00F3439C" w:rsidRDefault="00384E1D" w:rsidP="004F68B5">
            <w:pPr>
              <w:jc w:val="both"/>
            </w:pPr>
            <w:r w:rsidRPr="00F3439C">
              <w:t>E</w:t>
            </w:r>
            <w:r w:rsidR="004F68B5" w:rsidRPr="00F3439C">
              <w:t>n el marco del Sistema Nacional de Programación Multianual y Gestión de Inversiones (SNPMGI)</w:t>
            </w:r>
            <w:r w:rsidRPr="00F3439C">
              <w:t xml:space="preserve"> se identificaron los siguientes estándares de calidad</w:t>
            </w:r>
            <w:r w:rsidR="004F68B5" w:rsidRPr="00F3439C">
              <w:t>:</w:t>
            </w:r>
          </w:p>
          <w:p w14:paraId="38116053" w14:textId="77777777" w:rsidR="008E70E1" w:rsidRPr="00F3439C" w:rsidRDefault="008E70E1" w:rsidP="00B72BD7"/>
          <w:p w14:paraId="4F4A41E9" w14:textId="77777777" w:rsidR="008E70E1" w:rsidRPr="00F3439C" w:rsidRDefault="008E70E1" w:rsidP="00A23CEF">
            <w:pPr>
              <w:pStyle w:val="Prrafodelista"/>
              <w:numPr>
                <w:ilvl w:val="0"/>
                <w:numId w:val="34"/>
              </w:numPr>
              <w:ind w:left="308" w:hanging="284"/>
              <w:rPr>
                <w:b/>
              </w:rPr>
            </w:pPr>
            <w:r w:rsidRPr="00F3439C">
              <w:rPr>
                <w:b/>
              </w:rPr>
              <w:t>Reglamento Nacional de Edificaciones – RNE</w:t>
            </w:r>
          </w:p>
          <w:p w14:paraId="6ECF6528" w14:textId="77777777" w:rsidR="008E70E1" w:rsidRPr="00F3439C" w:rsidRDefault="008E70E1" w:rsidP="008E70E1">
            <w:pPr>
              <w:rPr>
                <w:b/>
              </w:rPr>
            </w:pPr>
          </w:p>
          <w:p w14:paraId="25689463" w14:textId="5CA36763" w:rsidR="008E70E1" w:rsidRPr="00F3439C" w:rsidRDefault="008E70E1" w:rsidP="008E70E1">
            <w:pPr>
              <w:jc w:val="both"/>
            </w:pPr>
            <w:r w:rsidRPr="00F3439C">
              <w:t>El Reglamento Nacional de Edificaciones tiene por objetivo normar los criterios y requisitos mínimos para el diseño y ejecución de las habilitaciones urbanas y las edificaciones, permitiendo de esta manera una mejor ejecución de los planes urbanos</w:t>
            </w:r>
            <w:r w:rsidR="00ED01AE" w:rsidRPr="00F3439C">
              <w:t>.</w:t>
            </w:r>
            <w:r w:rsidRPr="00F3439C">
              <w:t xml:space="preserve"> (Norma </w:t>
            </w:r>
            <w:r w:rsidR="43687FE6" w:rsidRPr="00F3439C">
              <w:t>4</w:t>
            </w:r>
            <w:r w:rsidRPr="00F3439C">
              <w:t>)</w:t>
            </w:r>
          </w:p>
          <w:p w14:paraId="45E35891" w14:textId="77777777" w:rsidR="00BB3A05" w:rsidRPr="001056F3" w:rsidRDefault="00BB3A05" w:rsidP="00BB3A05">
            <w:pPr>
              <w:pStyle w:val="Prrafodelista"/>
              <w:ind w:left="1080"/>
              <w:rPr>
                <w:b/>
              </w:rPr>
            </w:pPr>
          </w:p>
          <w:p w14:paraId="5BA2EFDB" w14:textId="262DCB77" w:rsidR="009F11D6" w:rsidRPr="001056F3" w:rsidRDefault="009F11D6" w:rsidP="00A23CEF">
            <w:pPr>
              <w:pStyle w:val="Prrafodelista"/>
              <w:numPr>
                <w:ilvl w:val="0"/>
                <w:numId w:val="34"/>
              </w:numPr>
              <w:ind w:left="308" w:hanging="284"/>
              <w:rPr>
                <w:b/>
              </w:rPr>
            </w:pPr>
            <w:r w:rsidRPr="001056F3">
              <w:rPr>
                <w:b/>
              </w:rPr>
              <w:t>Reglamento del procedimiento de licenciamiento para universidades nuevas</w:t>
            </w:r>
          </w:p>
          <w:p w14:paraId="14D89DA5" w14:textId="77777777" w:rsidR="009F11D6" w:rsidRPr="001056F3" w:rsidRDefault="009F11D6" w:rsidP="009F11D6">
            <w:pPr>
              <w:rPr>
                <w:b/>
              </w:rPr>
            </w:pPr>
          </w:p>
          <w:p w14:paraId="33165CC6" w14:textId="77777777" w:rsidR="009F11D6" w:rsidRPr="001056F3" w:rsidRDefault="009F11D6" w:rsidP="009F11D6">
            <w:pPr>
              <w:jc w:val="both"/>
            </w:pPr>
            <w:r w:rsidRPr="001056F3">
              <w:t>Tiene por finalidad asegurar que las universidades nuevas cumplan las condiciones básicas de calidad para la prestación del servicio educativo en el territorio nacional.</w:t>
            </w:r>
          </w:p>
          <w:p w14:paraId="0C47DF12" w14:textId="77777777" w:rsidR="009F11D6" w:rsidRPr="001056F3" w:rsidRDefault="009F11D6" w:rsidP="009F11D6">
            <w:pPr>
              <w:jc w:val="both"/>
            </w:pPr>
          </w:p>
          <w:p w14:paraId="28E3C973" w14:textId="4A14F0CA" w:rsidR="0078642E" w:rsidRPr="001056F3" w:rsidRDefault="60C47A6D" w:rsidP="009F11D6">
            <w:pPr>
              <w:jc w:val="both"/>
            </w:pPr>
            <w:r w:rsidRPr="001056F3">
              <w:t>La presente norma es aplicable a las universidades nuevas que pretendan llevar a cabo la prestación del servicio educativo superior universitario en el territorio nacional. Para efectos del presente reglamento, también se entiende por universidad nueva a las universidades públicas o privadas con licencia institucional denegada o cancelada por la SUNEDU, que presenten una nueva solicitud de licenciamiento</w:t>
            </w:r>
            <w:r w:rsidR="00ED01AE" w:rsidRPr="001056F3">
              <w:t>.</w:t>
            </w:r>
            <w:r w:rsidRPr="001056F3">
              <w:t xml:space="preserve"> (Norma 5)</w:t>
            </w:r>
          </w:p>
          <w:p w14:paraId="3F120E16" w14:textId="77777777" w:rsidR="008B3539" w:rsidRPr="001056F3" w:rsidRDefault="008B3539" w:rsidP="009F11D6">
            <w:pPr>
              <w:jc w:val="both"/>
            </w:pPr>
          </w:p>
          <w:p w14:paraId="6E0B25BB" w14:textId="77777777" w:rsidR="000F6B4F" w:rsidRPr="00552602" w:rsidRDefault="000F6B4F" w:rsidP="0070159D">
            <w:pPr>
              <w:rPr>
                <w:b/>
              </w:rPr>
            </w:pPr>
          </w:p>
          <w:p w14:paraId="1EC4C346" w14:textId="1925F558" w:rsidR="00132CAB" w:rsidRPr="00552602" w:rsidRDefault="00132CAB" w:rsidP="00A23CEF">
            <w:pPr>
              <w:pStyle w:val="Prrafodelista"/>
              <w:numPr>
                <w:ilvl w:val="0"/>
                <w:numId w:val="34"/>
              </w:numPr>
              <w:ind w:left="308" w:hanging="284"/>
              <w:rPr>
                <w:b/>
              </w:rPr>
            </w:pPr>
            <w:r w:rsidRPr="00552602">
              <w:rPr>
                <w:b/>
              </w:rPr>
              <w:lastRenderedPageBreak/>
              <w:t>Estándares de Calidad para Bibliotecas Universitarias</w:t>
            </w:r>
          </w:p>
          <w:p w14:paraId="7D84177D" w14:textId="77777777" w:rsidR="00132CAB" w:rsidRPr="00552602" w:rsidRDefault="00132CAB" w:rsidP="00132CAB">
            <w:pPr>
              <w:rPr>
                <w:b/>
              </w:rPr>
            </w:pPr>
          </w:p>
          <w:p w14:paraId="5256B54C" w14:textId="2987270F" w:rsidR="005740F0" w:rsidRPr="00552602" w:rsidRDefault="00C63D36" w:rsidP="00DA1076">
            <w:pPr>
              <w:jc w:val="both"/>
            </w:pPr>
            <w:r w:rsidRPr="00552602">
              <w:t>Los presentes estándares establecen los criterios, estándares de calidad, indicadores y fuentes de verificación para los factores: Dirección, planificación, organización y control, recursos humanos, procesamiento documental, colección documental, uso de recursos de información, atención a usuarios, local y equipos, todos estos como elementos con que deberá contar</w:t>
            </w:r>
            <w:r w:rsidR="008C52B0" w:rsidRPr="00552602">
              <w:t xml:space="preserve"> las bibliotecas universitarias</w:t>
            </w:r>
            <w:r w:rsidR="00ED01AE" w:rsidRPr="00552602">
              <w:t>.</w:t>
            </w:r>
            <w:r w:rsidR="008C52B0" w:rsidRPr="00552602">
              <w:t xml:space="preserve"> (Norma </w:t>
            </w:r>
            <w:r w:rsidR="00833868">
              <w:t>6</w:t>
            </w:r>
            <w:r w:rsidR="008C52B0" w:rsidRPr="00552602">
              <w:t>)</w:t>
            </w:r>
          </w:p>
          <w:p w14:paraId="43EB2E34" w14:textId="3232ECA3" w:rsidR="005740F0" w:rsidRPr="00F3439C" w:rsidRDefault="005740F0" w:rsidP="00057AB6"/>
          <w:p w14:paraId="133C1640" w14:textId="4E045F7E" w:rsidR="00002FFB" w:rsidRPr="00F3439C" w:rsidRDefault="00B72BD7" w:rsidP="00B72BD7">
            <w:r w:rsidRPr="00F3439C">
              <w:rPr>
                <w:b/>
              </w:rPr>
              <w:t>Norma Legal</w:t>
            </w:r>
            <w:r w:rsidR="00F95B43" w:rsidRPr="00F3439C">
              <w:rPr>
                <w:b/>
              </w:rPr>
              <w:t>:</w:t>
            </w:r>
          </w:p>
          <w:p w14:paraId="032E5AB6" w14:textId="77777777" w:rsidR="00002FFB" w:rsidRPr="00F3439C" w:rsidRDefault="00002FFB" w:rsidP="00057AB6">
            <w:pPr>
              <w:pStyle w:val="Prrafodelista"/>
              <w:ind w:left="313"/>
              <w:rPr>
                <w:sz w:val="18"/>
              </w:rPr>
            </w:pPr>
          </w:p>
          <w:p w14:paraId="2A8380DA" w14:textId="41D46591" w:rsidR="00D2321B" w:rsidRPr="00F3439C" w:rsidRDefault="4C2B56F3" w:rsidP="00D2321B">
            <w:pPr>
              <w:jc w:val="both"/>
            </w:pPr>
            <w:r w:rsidRPr="00F3439C">
              <w:t xml:space="preserve">(Norma 4) Reglamento Nacional de Edificaciones, aprobada con Decreto Supremo </w:t>
            </w:r>
            <w:proofErr w:type="spellStart"/>
            <w:r w:rsidRPr="00F3439C">
              <w:t>N°</w:t>
            </w:r>
            <w:proofErr w:type="spellEnd"/>
            <w:r w:rsidRPr="00F3439C">
              <w:t xml:space="preserve"> 011-2006-Vivienda.</w:t>
            </w:r>
          </w:p>
          <w:p w14:paraId="32E6FE03" w14:textId="6B377D1B" w:rsidR="00D2321B" w:rsidRPr="00F3439C" w:rsidRDefault="00D2321B" w:rsidP="00D2321B">
            <w:pPr>
              <w:jc w:val="both"/>
              <w:rPr>
                <w:color w:val="0070C0"/>
                <w:u w:val="single"/>
                <w:lang w:val="en-AU"/>
              </w:rPr>
            </w:pPr>
            <w:r w:rsidRPr="00F3439C">
              <w:rPr>
                <w:lang w:val="en-AU"/>
              </w:rPr>
              <w:t xml:space="preserve">LINK: </w:t>
            </w:r>
            <w:hyperlink r:id="rId8" w:history="1">
              <w:r w:rsidR="00BB3A05" w:rsidRPr="00F3439C">
                <w:rPr>
                  <w:rStyle w:val="Hipervnculo"/>
                  <w:lang w:val="en-AU"/>
                </w:rPr>
                <w:t>http://www.construccion.org/normas/rne2012/rne2006.htm</w:t>
              </w:r>
            </w:hyperlink>
          </w:p>
          <w:p w14:paraId="6FAF6522" w14:textId="77777777" w:rsidR="00BB3A05" w:rsidRPr="001056F3" w:rsidRDefault="00BB3A05" w:rsidP="00D2321B">
            <w:pPr>
              <w:jc w:val="both"/>
              <w:rPr>
                <w:lang w:val="en-AU"/>
              </w:rPr>
            </w:pPr>
          </w:p>
          <w:p w14:paraId="7B84DD7B" w14:textId="536077C7" w:rsidR="00990C0D" w:rsidRPr="001056F3" w:rsidRDefault="00990C0D" w:rsidP="000E33B2">
            <w:pPr>
              <w:jc w:val="both"/>
            </w:pPr>
            <w:r w:rsidRPr="001056F3">
              <w:t xml:space="preserve">(Norma </w:t>
            </w:r>
            <w:r w:rsidR="16D6D331" w:rsidRPr="001056F3">
              <w:t>5</w:t>
            </w:r>
            <w:r w:rsidRPr="001056F3">
              <w:t xml:space="preserve">) Resolución del Consejo Directivo </w:t>
            </w:r>
            <w:proofErr w:type="spellStart"/>
            <w:r w:rsidRPr="001056F3">
              <w:t>N°</w:t>
            </w:r>
            <w:proofErr w:type="spellEnd"/>
            <w:r w:rsidRPr="001056F3">
              <w:t xml:space="preserve"> 043-2020-SUNEDU/CD, con el cual se aprueba el “Reglamento del procedimiento de licenciamiento para universidades nuevas”</w:t>
            </w:r>
            <w:r w:rsidR="527E7DDD" w:rsidRPr="001056F3">
              <w:t xml:space="preserve"> y su modificatoria.</w:t>
            </w:r>
          </w:p>
          <w:p w14:paraId="74E51B8A" w14:textId="4D4EA7A0" w:rsidR="00EE7B7D" w:rsidRPr="001056F3" w:rsidRDefault="009B6F60" w:rsidP="000E33B2">
            <w:pPr>
              <w:jc w:val="both"/>
              <w:rPr>
                <w:lang w:val="en-US"/>
              </w:rPr>
            </w:pPr>
            <w:r w:rsidRPr="001056F3">
              <w:rPr>
                <w:lang w:val="en-US"/>
              </w:rPr>
              <w:t xml:space="preserve">Link: </w:t>
            </w:r>
            <w:hyperlink r:id="rId9" w:history="1">
              <w:r w:rsidR="00EE7B7D" w:rsidRPr="001056F3">
                <w:rPr>
                  <w:rStyle w:val="Hipervnculo"/>
                  <w:lang w:val="en-US"/>
                </w:rPr>
                <w:t>https://www.gob.pe/institucion/sunedu/informes-publicaciones/925005-reglamento-del-procedimiento-de-licenciamiento-para-universidades-nuevas</w:t>
              </w:r>
            </w:hyperlink>
            <w:r w:rsidR="00EE7B7D" w:rsidRPr="001056F3">
              <w:rPr>
                <w:lang w:val="en-US"/>
              </w:rPr>
              <w:t xml:space="preserve"> </w:t>
            </w:r>
          </w:p>
          <w:p w14:paraId="12BF0FF1" w14:textId="77777777" w:rsidR="00990C0D" w:rsidRPr="001056F3" w:rsidRDefault="00990C0D" w:rsidP="000E33B2">
            <w:pPr>
              <w:jc w:val="both"/>
              <w:rPr>
                <w:lang w:val="en-US"/>
              </w:rPr>
            </w:pPr>
          </w:p>
          <w:p w14:paraId="1BCB73D6" w14:textId="77777777" w:rsidR="00552602" w:rsidRPr="00552602" w:rsidRDefault="00552602" w:rsidP="000E33B2">
            <w:pPr>
              <w:jc w:val="both"/>
              <w:rPr>
                <w:lang w:val="en-US"/>
              </w:rPr>
            </w:pPr>
          </w:p>
          <w:p w14:paraId="4BCFF350" w14:textId="69EA5AFF" w:rsidR="000E33B2" w:rsidRPr="00552602" w:rsidRDefault="000E33B2" w:rsidP="000E33B2">
            <w:pPr>
              <w:jc w:val="both"/>
            </w:pPr>
            <w:r w:rsidRPr="00552602">
              <w:t>(</w:t>
            </w:r>
            <w:r w:rsidR="000F6B4F" w:rsidRPr="00552602">
              <w:t xml:space="preserve">Norma </w:t>
            </w:r>
            <w:r w:rsidR="00833868">
              <w:t>6</w:t>
            </w:r>
            <w:r w:rsidRPr="00552602">
              <w:t xml:space="preserve">) Estándares de Calidad para Bibliotecas Universitarias (Resolución </w:t>
            </w:r>
            <w:proofErr w:type="gramStart"/>
            <w:r w:rsidRPr="00552602">
              <w:t>Directoral Nacional</w:t>
            </w:r>
            <w:proofErr w:type="gramEnd"/>
            <w:r w:rsidRPr="00552602">
              <w:t xml:space="preserve"> </w:t>
            </w:r>
            <w:proofErr w:type="spellStart"/>
            <w:r w:rsidRPr="00552602">
              <w:t>N°</w:t>
            </w:r>
            <w:proofErr w:type="spellEnd"/>
            <w:r w:rsidRPr="00552602">
              <w:t xml:space="preserve"> 06- 2016-BNP)</w:t>
            </w:r>
          </w:p>
          <w:p w14:paraId="03B61AFC" w14:textId="299AB176" w:rsidR="000E33B2" w:rsidRPr="00552602" w:rsidRDefault="000E33B2" w:rsidP="000E33B2">
            <w:pPr>
              <w:jc w:val="both"/>
              <w:rPr>
                <w:color w:val="0070C0"/>
                <w:lang w:val="en-AU"/>
              </w:rPr>
            </w:pPr>
            <w:r w:rsidRPr="00552602">
              <w:rPr>
                <w:lang w:val="en-AU"/>
              </w:rPr>
              <w:t xml:space="preserve">LINK: </w:t>
            </w:r>
            <w:r w:rsidRPr="00552602">
              <w:rPr>
                <w:color w:val="0070C0"/>
                <w:u w:val="single"/>
                <w:lang w:val="en-AU"/>
              </w:rPr>
              <w:t>https://www.bnp.gob.pe//documentos/resolucion_directoral_nacional/2016/rdn-006-2016-bnp.pdf</w:t>
            </w:r>
          </w:p>
          <w:p w14:paraId="7C35DDA1" w14:textId="77777777" w:rsidR="000E33B2" w:rsidRPr="00552602" w:rsidRDefault="000E33B2" w:rsidP="000E33B2">
            <w:pPr>
              <w:jc w:val="both"/>
              <w:rPr>
                <w:lang w:val="en-AU"/>
              </w:rPr>
            </w:pPr>
          </w:p>
          <w:p w14:paraId="02DFB0A8" w14:textId="784B810A" w:rsidR="00002FFB" w:rsidRDefault="000E33B2" w:rsidP="000E33B2">
            <w:pPr>
              <w:jc w:val="both"/>
            </w:pPr>
            <w:r w:rsidRPr="00552602">
              <w:t>La OPMI del Sector Educ</w:t>
            </w:r>
            <w:r w:rsidR="00F54E93" w:rsidRPr="00552602">
              <w:t>ación pu</w:t>
            </w:r>
            <w:r w:rsidR="00C473CF" w:rsidRPr="00552602">
              <w:t>e</w:t>
            </w:r>
            <w:r w:rsidR="00F54E93" w:rsidRPr="00552602">
              <w:t>de identifi</w:t>
            </w:r>
            <w:r w:rsidR="14BBDA76" w:rsidRPr="00552602">
              <w:t>car</w:t>
            </w:r>
            <w:r w:rsidR="00F54E93" w:rsidRPr="00552602">
              <w:t xml:space="preserve"> como está</w:t>
            </w:r>
            <w:r w:rsidRPr="00552602">
              <w:t>ndar de calidad otras normas que considere pertinentes.</w:t>
            </w:r>
          </w:p>
          <w:p w14:paraId="7643277B" w14:textId="5A88D17B" w:rsidR="00E3652C" w:rsidRPr="000A56B4" w:rsidRDefault="00E3652C" w:rsidP="00BB2E63">
            <w:pPr>
              <w:jc w:val="both"/>
            </w:pPr>
          </w:p>
        </w:tc>
      </w:tr>
    </w:tbl>
    <w:p w14:paraId="2475CD9D" w14:textId="77777777" w:rsidR="00002FFB" w:rsidRPr="000A56B4" w:rsidRDefault="00002FFB" w:rsidP="00057AB6">
      <w:pPr>
        <w:spacing w:after="0" w:line="240" w:lineRule="auto"/>
      </w:pPr>
    </w:p>
    <w:sectPr w:rsidR="00002FFB" w:rsidRPr="000A56B4"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BC87" w14:textId="77777777" w:rsidR="007E2DC7" w:rsidRDefault="007E2DC7">
      <w:pPr>
        <w:spacing w:after="0" w:line="240" w:lineRule="auto"/>
      </w:pPr>
      <w:r>
        <w:separator/>
      </w:r>
    </w:p>
  </w:endnote>
  <w:endnote w:type="continuationSeparator" w:id="0">
    <w:p w14:paraId="6783A45A" w14:textId="77777777" w:rsidR="007E2DC7" w:rsidRDefault="007E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2060" w14:textId="77777777" w:rsidR="007E2DC7" w:rsidRDefault="007E2DC7">
      <w:pPr>
        <w:spacing w:after="0" w:line="240" w:lineRule="auto"/>
      </w:pPr>
      <w:r>
        <w:separator/>
      </w:r>
    </w:p>
  </w:footnote>
  <w:footnote w:type="continuationSeparator" w:id="0">
    <w:p w14:paraId="393ABC77" w14:textId="77777777" w:rsidR="007E2DC7" w:rsidRDefault="007E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AD9"/>
    <w:multiLevelType w:val="hybridMultilevel"/>
    <w:tmpl w:val="769EF1FA"/>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4066F4"/>
    <w:multiLevelType w:val="hybridMultilevel"/>
    <w:tmpl w:val="0B6C83F6"/>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4C3CA8"/>
    <w:multiLevelType w:val="hybridMultilevel"/>
    <w:tmpl w:val="0B6C83F6"/>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3AD1919"/>
    <w:multiLevelType w:val="hybridMultilevel"/>
    <w:tmpl w:val="32F65B1A"/>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8"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9" w15:restartNumberingAfterBreak="0">
    <w:nsid w:val="1BAD6484"/>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6"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6B1969"/>
    <w:multiLevelType w:val="hybridMultilevel"/>
    <w:tmpl w:val="841A83A0"/>
    <w:lvl w:ilvl="0" w:tplc="E946C1B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B35225"/>
    <w:multiLevelType w:val="hybridMultilevel"/>
    <w:tmpl w:val="F55677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3"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4"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6"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8"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5F8119FB"/>
    <w:multiLevelType w:val="hybridMultilevel"/>
    <w:tmpl w:val="51104F88"/>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343EF5"/>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3A2022D"/>
    <w:multiLevelType w:val="hybridMultilevel"/>
    <w:tmpl w:val="C0AE6FA8"/>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4A71F03"/>
    <w:multiLevelType w:val="hybridMultilevel"/>
    <w:tmpl w:val="0718617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9"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40" w15:restartNumberingAfterBreak="0">
    <w:nsid w:val="6ED47EFC"/>
    <w:multiLevelType w:val="hybridMultilevel"/>
    <w:tmpl w:val="ADE6DCB2"/>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1EB1F3C"/>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36"/>
  </w:num>
  <w:num w:numId="5">
    <w:abstractNumId w:val="37"/>
  </w:num>
  <w:num w:numId="6">
    <w:abstractNumId w:val="38"/>
  </w:num>
  <w:num w:numId="7">
    <w:abstractNumId w:val="10"/>
  </w:num>
  <w:num w:numId="8">
    <w:abstractNumId w:val="16"/>
  </w:num>
  <w:num w:numId="9">
    <w:abstractNumId w:val="28"/>
  </w:num>
  <w:num w:numId="10">
    <w:abstractNumId w:val="30"/>
  </w:num>
  <w:num w:numId="11">
    <w:abstractNumId w:val="25"/>
  </w:num>
  <w:num w:numId="12">
    <w:abstractNumId w:val="22"/>
  </w:num>
  <w:num w:numId="13">
    <w:abstractNumId w:val="7"/>
  </w:num>
  <w:num w:numId="14">
    <w:abstractNumId w:val="15"/>
  </w:num>
  <w:num w:numId="15">
    <w:abstractNumId w:val="23"/>
  </w:num>
  <w:num w:numId="16">
    <w:abstractNumId w:val="39"/>
  </w:num>
  <w:num w:numId="17">
    <w:abstractNumId w:val="17"/>
  </w:num>
  <w:num w:numId="18">
    <w:abstractNumId w:val="14"/>
  </w:num>
  <w:num w:numId="19">
    <w:abstractNumId w:val="11"/>
  </w:num>
  <w:num w:numId="20">
    <w:abstractNumId w:val="27"/>
  </w:num>
  <w:num w:numId="21">
    <w:abstractNumId w:val="1"/>
  </w:num>
  <w:num w:numId="22">
    <w:abstractNumId w:val="8"/>
  </w:num>
  <w:num w:numId="23">
    <w:abstractNumId w:val="24"/>
  </w:num>
  <w:num w:numId="24">
    <w:abstractNumId w:val="21"/>
  </w:num>
  <w:num w:numId="25">
    <w:abstractNumId w:val="29"/>
  </w:num>
  <w:num w:numId="26">
    <w:abstractNumId w:val="35"/>
  </w:num>
  <w:num w:numId="27">
    <w:abstractNumId w:val="26"/>
  </w:num>
  <w:num w:numId="28">
    <w:abstractNumId w:val="18"/>
  </w:num>
  <w:num w:numId="29">
    <w:abstractNumId w:val="12"/>
  </w:num>
  <w:num w:numId="30">
    <w:abstractNumId w:val="3"/>
  </w:num>
  <w:num w:numId="31">
    <w:abstractNumId w:val="20"/>
  </w:num>
  <w:num w:numId="32">
    <w:abstractNumId w:val="34"/>
  </w:num>
  <w:num w:numId="33">
    <w:abstractNumId w:val="19"/>
  </w:num>
  <w:num w:numId="34">
    <w:abstractNumId w:val="6"/>
  </w:num>
  <w:num w:numId="35">
    <w:abstractNumId w:val="5"/>
  </w:num>
  <w:num w:numId="36">
    <w:abstractNumId w:val="0"/>
  </w:num>
  <w:num w:numId="37">
    <w:abstractNumId w:val="33"/>
  </w:num>
  <w:num w:numId="38">
    <w:abstractNumId w:val="31"/>
  </w:num>
  <w:num w:numId="39">
    <w:abstractNumId w:val="40"/>
  </w:num>
  <w:num w:numId="40">
    <w:abstractNumId w:val="9"/>
  </w:num>
  <w:num w:numId="41">
    <w:abstractNumId w:val="3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21A7"/>
    <w:rsid w:val="00057AB6"/>
    <w:rsid w:val="000850C1"/>
    <w:rsid w:val="000A56B4"/>
    <w:rsid w:val="000A632B"/>
    <w:rsid w:val="000A6481"/>
    <w:rsid w:val="000E270B"/>
    <w:rsid w:val="000E33B2"/>
    <w:rsid w:val="000F2996"/>
    <w:rsid w:val="000F6B4F"/>
    <w:rsid w:val="001056F3"/>
    <w:rsid w:val="00114249"/>
    <w:rsid w:val="00132CAB"/>
    <w:rsid w:val="00136431"/>
    <w:rsid w:val="00140E56"/>
    <w:rsid w:val="00155C41"/>
    <w:rsid w:val="00167E0B"/>
    <w:rsid w:val="00174F0B"/>
    <w:rsid w:val="00186C17"/>
    <w:rsid w:val="00190BF5"/>
    <w:rsid w:val="00197F7E"/>
    <w:rsid w:val="001E1763"/>
    <w:rsid w:val="001E4BB5"/>
    <w:rsid w:val="00203746"/>
    <w:rsid w:val="002078C9"/>
    <w:rsid w:val="00232119"/>
    <w:rsid w:val="00264B7C"/>
    <w:rsid w:val="0027609D"/>
    <w:rsid w:val="00276DB0"/>
    <w:rsid w:val="002853CE"/>
    <w:rsid w:val="00290CB2"/>
    <w:rsid w:val="002B2D95"/>
    <w:rsid w:val="002B6CB0"/>
    <w:rsid w:val="002C13CB"/>
    <w:rsid w:val="002C4DBF"/>
    <w:rsid w:val="002C6A20"/>
    <w:rsid w:val="00304A3E"/>
    <w:rsid w:val="003234D2"/>
    <w:rsid w:val="0032560C"/>
    <w:rsid w:val="003314E6"/>
    <w:rsid w:val="0034537F"/>
    <w:rsid w:val="00353026"/>
    <w:rsid w:val="00363DEB"/>
    <w:rsid w:val="00366A29"/>
    <w:rsid w:val="00366E3C"/>
    <w:rsid w:val="00382850"/>
    <w:rsid w:val="00384E1D"/>
    <w:rsid w:val="003A142E"/>
    <w:rsid w:val="003B200B"/>
    <w:rsid w:val="003C5C22"/>
    <w:rsid w:val="003F2F71"/>
    <w:rsid w:val="00435597"/>
    <w:rsid w:val="00435F70"/>
    <w:rsid w:val="00437F41"/>
    <w:rsid w:val="00446D8B"/>
    <w:rsid w:val="004635D7"/>
    <w:rsid w:val="004739FB"/>
    <w:rsid w:val="00480A6B"/>
    <w:rsid w:val="004927E7"/>
    <w:rsid w:val="004929EE"/>
    <w:rsid w:val="004A325E"/>
    <w:rsid w:val="004A4220"/>
    <w:rsid w:val="004C5E7A"/>
    <w:rsid w:val="004F3439"/>
    <w:rsid w:val="004F68B5"/>
    <w:rsid w:val="0051223C"/>
    <w:rsid w:val="00525E19"/>
    <w:rsid w:val="00526C3B"/>
    <w:rsid w:val="00534073"/>
    <w:rsid w:val="0054009D"/>
    <w:rsid w:val="00552602"/>
    <w:rsid w:val="00560049"/>
    <w:rsid w:val="005740F0"/>
    <w:rsid w:val="00594BD7"/>
    <w:rsid w:val="005B2161"/>
    <w:rsid w:val="005B4C21"/>
    <w:rsid w:val="005C4F7E"/>
    <w:rsid w:val="005D09C9"/>
    <w:rsid w:val="005D773F"/>
    <w:rsid w:val="005E4533"/>
    <w:rsid w:val="006113CA"/>
    <w:rsid w:val="00640694"/>
    <w:rsid w:val="00640C88"/>
    <w:rsid w:val="00644161"/>
    <w:rsid w:val="00680DE7"/>
    <w:rsid w:val="006863E8"/>
    <w:rsid w:val="006D225B"/>
    <w:rsid w:val="00700A98"/>
    <w:rsid w:val="0070159D"/>
    <w:rsid w:val="00734AEC"/>
    <w:rsid w:val="00744859"/>
    <w:rsid w:val="00753403"/>
    <w:rsid w:val="0078642E"/>
    <w:rsid w:val="00793CA5"/>
    <w:rsid w:val="007A09F0"/>
    <w:rsid w:val="007A679F"/>
    <w:rsid w:val="007D4698"/>
    <w:rsid w:val="007E1B81"/>
    <w:rsid w:val="007E2DC7"/>
    <w:rsid w:val="007E458A"/>
    <w:rsid w:val="007F2000"/>
    <w:rsid w:val="007F4895"/>
    <w:rsid w:val="00833868"/>
    <w:rsid w:val="00834A04"/>
    <w:rsid w:val="0083563C"/>
    <w:rsid w:val="00837CB5"/>
    <w:rsid w:val="00856566"/>
    <w:rsid w:val="00871444"/>
    <w:rsid w:val="00886B02"/>
    <w:rsid w:val="008B3539"/>
    <w:rsid w:val="008C3ECE"/>
    <w:rsid w:val="008C42F5"/>
    <w:rsid w:val="008C52B0"/>
    <w:rsid w:val="008C5E5F"/>
    <w:rsid w:val="008C7C89"/>
    <w:rsid w:val="008D09B1"/>
    <w:rsid w:val="008E70E1"/>
    <w:rsid w:val="009131EB"/>
    <w:rsid w:val="00920E7E"/>
    <w:rsid w:val="00922E2C"/>
    <w:rsid w:val="009314FA"/>
    <w:rsid w:val="0093701C"/>
    <w:rsid w:val="00942EA6"/>
    <w:rsid w:val="009542D0"/>
    <w:rsid w:val="00954624"/>
    <w:rsid w:val="00955BB3"/>
    <w:rsid w:val="0096436A"/>
    <w:rsid w:val="00966C95"/>
    <w:rsid w:val="00990C0D"/>
    <w:rsid w:val="009B0D75"/>
    <w:rsid w:val="009B3528"/>
    <w:rsid w:val="009B3D31"/>
    <w:rsid w:val="009B6F60"/>
    <w:rsid w:val="009D0F64"/>
    <w:rsid w:val="009E268D"/>
    <w:rsid w:val="009F11D6"/>
    <w:rsid w:val="009F135C"/>
    <w:rsid w:val="009F7131"/>
    <w:rsid w:val="00A23CEF"/>
    <w:rsid w:val="00AB7B85"/>
    <w:rsid w:val="00AD52F2"/>
    <w:rsid w:val="00AF67C1"/>
    <w:rsid w:val="00B00F05"/>
    <w:rsid w:val="00B22419"/>
    <w:rsid w:val="00B25049"/>
    <w:rsid w:val="00B3234C"/>
    <w:rsid w:val="00B43004"/>
    <w:rsid w:val="00B479CF"/>
    <w:rsid w:val="00B52927"/>
    <w:rsid w:val="00B57813"/>
    <w:rsid w:val="00B72BD7"/>
    <w:rsid w:val="00B74A75"/>
    <w:rsid w:val="00BB18BF"/>
    <w:rsid w:val="00BB2E63"/>
    <w:rsid w:val="00BB3A05"/>
    <w:rsid w:val="00BC111F"/>
    <w:rsid w:val="00BF40DC"/>
    <w:rsid w:val="00C11360"/>
    <w:rsid w:val="00C25BBE"/>
    <w:rsid w:val="00C3510E"/>
    <w:rsid w:val="00C41AC1"/>
    <w:rsid w:val="00C45664"/>
    <w:rsid w:val="00C473CF"/>
    <w:rsid w:val="00C62889"/>
    <w:rsid w:val="00C63D36"/>
    <w:rsid w:val="00CB57F1"/>
    <w:rsid w:val="00CD4AD8"/>
    <w:rsid w:val="00CE0933"/>
    <w:rsid w:val="00CF72B1"/>
    <w:rsid w:val="00D2321B"/>
    <w:rsid w:val="00D57CB8"/>
    <w:rsid w:val="00D80471"/>
    <w:rsid w:val="00D906BE"/>
    <w:rsid w:val="00D9731F"/>
    <w:rsid w:val="00DA1076"/>
    <w:rsid w:val="00DC1D39"/>
    <w:rsid w:val="00DC6005"/>
    <w:rsid w:val="00DF5C7D"/>
    <w:rsid w:val="00E25368"/>
    <w:rsid w:val="00E3652C"/>
    <w:rsid w:val="00E52BBB"/>
    <w:rsid w:val="00E83E29"/>
    <w:rsid w:val="00E87F8B"/>
    <w:rsid w:val="00EA4468"/>
    <w:rsid w:val="00EA5E5C"/>
    <w:rsid w:val="00ED01AE"/>
    <w:rsid w:val="00EE0596"/>
    <w:rsid w:val="00EE08C9"/>
    <w:rsid w:val="00EE7B7D"/>
    <w:rsid w:val="00EF4810"/>
    <w:rsid w:val="00F1741C"/>
    <w:rsid w:val="00F2039F"/>
    <w:rsid w:val="00F25337"/>
    <w:rsid w:val="00F2589D"/>
    <w:rsid w:val="00F258A2"/>
    <w:rsid w:val="00F2659A"/>
    <w:rsid w:val="00F3439C"/>
    <w:rsid w:val="00F355DE"/>
    <w:rsid w:val="00F504F1"/>
    <w:rsid w:val="00F54E93"/>
    <w:rsid w:val="00F667FF"/>
    <w:rsid w:val="00F73F1E"/>
    <w:rsid w:val="00F95B43"/>
    <w:rsid w:val="00FA5165"/>
    <w:rsid w:val="00FB37BF"/>
    <w:rsid w:val="00FC1CD9"/>
    <w:rsid w:val="00FD4E5E"/>
    <w:rsid w:val="00FE1CFD"/>
    <w:rsid w:val="00FE4F64"/>
    <w:rsid w:val="01B06C65"/>
    <w:rsid w:val="02D53DED"/>
    <w:rsid w:val="0591E89C"/>
    <w:rsid w:val="06E1169B"/>
    <w:rsid w:val="06F8E8D3"/>
    <w:rsid w:val="0944BE9C"/>
    <w:rsid w:val="098C32B3"/>
    <w:rsid w:val="09B2D010"/>
    <w:rsid w:val="0A70B5E8"/>
    <w:rsid w:val="0B8BA637"/>
    <w:rsid w:val="1306C972"/>
    <w:rsid w:val="14BBDA76"/>
    <w:rsid w:val="1586C836"/>
    <w:rsid w:val="16D6D331"/>
    <w:rsid w:val="173F55D1"/>
    <w:rsid w:val="1BD57C49"/>
    <w:rsid w:val="1E824A3D"/>
    <w:rsid w:val="1F4AC19C"/>
    <w:rsid w:val="23F00356"/>
    <w:rsid w:val="24C57942"/>
    <w:rsid w:val="255169F8"/>
    <w:rsid w:val="2B3EC0C5"/>
    <w:rsid w:val="2B78CE69"/>
    <w:rsid w:val="2CD42A57"/>
    <w:rsid w:val="2DF4FAD1"/>
    <w:rsid w:val="2E325654"/>
    <w:rsid w:val="2E33EF14"/>
    <w:rsid w:val="2E7AD550"/>
    <w:rsid w:val="32ECDF77"/>
    <w:rsid w:val="32F991CE"/>
    <w:rsid w:val="35D91D33"/>
    <w:rsid w:val="36D189F5"/>
    <w:rsid w:val="3BEBF8C2"/>
    <w:rsid w:val="3DE3C106"/>
    <w:rsid w:val="4249B3C5"/>
    <w:rsid w:val="43687FE6"/>
    <w:rsid w:val="444ECF88"/>
    <w:rsid w:val="47243032"/>
    <w:rsid w:val="478A4134"/>
    <w:rsid w:val="4C2B56F3"/>
    <w:rsid w:val="50423E90"/>
    <w:rsid w:val="526A0B3C"/>
    <w:rsid w:val="527E7DDD"/>
    <w:rsid w:val="5479C988"/>
    <w:rsid w:val="54EFC1D2"/>
    <w:rsid w:val="55C04F46"/>
    <w:rsid w:val="56EC7DC2"/>
    <w:rsid w:val="58E8BB8E"/>
    <w:rsid w:val="5BDE8F22"/>
    <w:rsid w:val="5E3AE151"/>
    <w:rsid w:val="6096F185"/>
    <w:rsid w:val="60C47A6D"/>
    <w:rsid w:val="61D386BD"/>
    <w:rsid w:val="61F78ABB"/>
    <w:rsid w:val="62A4EFDC"/>
    <w:rsid w:val="6E8E11C9"/>
    <w:rsid w:val="71256D38"/>
    <w:rsid w:val="71A646F0"/>
    <w:rsid w:val="73F6669C"/>
    <w:rsid w:val="76C1D0D2"/>
    <w:rsid w:val="7B4A3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7E458A"/>
    <w:pPr>
      <w:spacing w:after="0" w:line="240" w:lineRule="auto"/>
    </w:pPr>
  </w:style>
  <w:style w:type="paragraph" w:styleId="NormalWeb">
    <w:name w:val="Normal (Web)"/>
    <w:basedOn w:val="Normal"/>
    <w:uiPriority w:val="99"/>
    <w:unhideWhenUsed/>
    <w:rsid w:val="004927E7"/>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BB3A05"/>
    <w:rPr>
      <w:color w:val="605E5C"/>
      <w:shd w:val="clear" w:color="auto" w:fill="E1DFDD"/>
    </w:rPr>
  </w:style>
  <w:style w:type="character" w:styleId="Hipervnculovisitado">
    <w:name w:val="FollowedHyperlink"/>
    <w:basedOn w:val="Fuentedeprrafopredeter"/>
    <w:uiPriority w:val="99"/>
    <w:semiHidden/>
    <w:unhideWhenUsed/>
    <w:rsid w:val="00ED0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ruccion.org/normas/rne2012/rne200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pe/institucion/sunedu/informes-publicaciones/925005-reglamento-del-procedimiento-de-licenciamiento-para-universidades-nuev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6E64-CBE1-499F-8FF6-A0C2A7E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10</cp:revision>
  <dcterms:created xsi:type="dcterms:W3CDTF">2025-06-02T19:58:00Z</dcterms:created>
  <dcterms:modified xsi:type="dcterms:W3CDTF">2025-06-25T23:12:00Z</dcterms:modified>
</cp:coreProperties>
</file>