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057AB6" w:rsidRPr="007F2000" w14:paraId="0BECCDC2" w14:textId="77777777">
        <w:tc>
          <w:tcPr>
            <w:tcW w:w="3539" w:type="dxa"/>
          </w:tcPr>
          <w:p w14:paraId="3E0246CE" w14:textId="77777777" w:rsidR="00002FFB" w:rsidRPr="007F2000" w:rsidRDefault="00F95B43" w:rsidP="00057AB6">
            <w:pPr>
              <w:rPr>
                <w:b/>
              </w:rPr>
            </w:pPr>
            <w:r w:rsidRPr="007F2000">
              <w:rPr>
                <w:b/>
              </w:rPr>
              <w:t>Nombre de la entidad pública:</w:t>
            </w:r>
          </w:p>
        </w:tc>
        <w:tc>
          <w:tcPr>
            <w:tcW w:w="4955" w:type="dxa"/>
          </w:tcPr>
          <w:p w14:paraId="7863136A" w14:textId="77777777" w:rsidR="00002FFB" w:rsidRPr="007F2000" w:rsidRDefault="00F95B43" w:rsidP="00057AB6">
            <w:r w:rsidRPr="007F2000">
              <w:t>Ministerio de Educación</w:t>
            </w:r>
          </w:p>
        </w:tc>
      </w:tr>
      <w:tr w:rsidR="00057AB6" w:rsidRPr="007F2000" w14:paraId="78C4B0FE" w14:textId="77777777">
        <w:tc>
          <w:tcPr>
            <w:tcW w:w="3539" w:type="dxa"/>
          </w:tcPr>
          <w:p w14:paraId="169E55E2" w14:textId="77777777" w:rsidR="00002FFB" w:rsidRPr="007F2000" w:rsidRDefault="00F95B43" w:rsidP="00057AB6">
            <w:pPr>
              <w:rPr>
                <w:b/>
              </w:rPr>
            </w:pPr>
            <w:r w:rsidRPr="007F2000">
              <w:rPr>
                <w:b/>
              </w:rPr>
              <w:t>Órgano técnico normativo competente:</w:t>
            </w:r>
          </w:p>
        </w:tc>
        <w:tc>
          <w:tcPr>
            <w:tcW w:w="4955" w:type="dxa"/>
          </w:tcPr>
          <w:p w14:paraId="535180BD" w14:textId="77777777" w:rsidR="00002FFB" w:rsidRPr="007F2000" w:rsidRDefault="00F95B43" w:rsidP="00057AB6">
            <w:r w:rsidRPr="007F2000">
              <w:t>Dirección de Normatividad - DINOR</w:t>
            </w:r>
          </w:p>
        </w:tc>
      </w:tr>
      <w:tr w:rsidR="00190BF5" w:rsidRPr="007F2000" w14:paraId="683EEEB7" w14:textId="77777777">
        <w:tc>
          <w:tcPr>
            <w:tcW w:w="3539" w:type="dxa"/>
          </w:tcPr>
          <w:p w14:paraId="5AA4889A" w14:textId="4FC96860" w:rsidR="00190BF5" w:rsidRPr="007F2000" w:rsidRDefault="00190BF5" w:rsidP="00057AB6">
            <w:pPr>
              <w:rPr>
                <w:b/>
              </w:rPr>
            </w:pPr>
            <w:r w:rsidRPr="007F2000">
              <w:rPr>
                <w:b/>
              </w:rPr>
              <w:t>Unidad Orgánica Responsable:</w:t>
            </w:r>
          </w:p>
        </w:tc>
        <w:tc>
          <w:tcPr>
            <w:tcW w:w="4955" w:type="dxa"/>
          </w:tcPr>
          <w:p w14:paraId="75195781" w14:textId="61829FBF" w:rsidR="00190BF5" w:rsidRPr="007F2000" w:rsidRDefault="007F2000" w:rsidP="00057AB6">
            <w:r w:rsidRPr="007F2000">
              <w:t>Dirección de Educación Inicial</w:t>
            </w:r>
          </w:p>
        </w:tc>
      </w:tr>
      <w:tr w:rsidR="00057AB6" w:rsidRPr="007F2000" w14:paraId="4C312602" w14:textId="77777777">
        <w:tc>
          <w:tcPr>
            <w:tcW w:w="3539" w:type="dxa"/>
          </w:tcPr>
          <w:p w14:paraId="2CC6F46A" w14:textId="77777777" w:rsidR="00002FFB" w:rsidRPr="007F2000" w:rsidRDefault="00F95B43" w:rsidP="00057AB6">
            <w:pPr>
              <w:rPr>
                <w:b/>
              </w:rPr>
            </w:pPr>
            <w:r w:rsidRPr="007F2000">
              <w:rPr>
                <w:b/>
              </w:rPr>
              <w:t>Sector:</w:t>
            </w:r>
          </w:p>
        </w:tc>
        <w:tc>
          <w:tcPr>
            <w:tcW w:w="4955" w:type="dxa"/>
          </w:tcPr>
          <w:p w14:paraId="679B4EF6" w14:textId="77777777" w:rsidR="00002FFB" w:rsidRPr="007F2000" w:rsidRDefault="00F95B43" w:rsidP="00057AB6">
            <w:r w:rsidRPr="007F2000">
              <w:rPr>
                <w:lang w:val="en-US"/>
              </w:rPr>
              <w:t>Educación</w:t>
            </w:r>
          </w:p>
        </w:tc>
      </w:tr>
      <w:tr w:rsidR="00057AB6" w:rsidRPr="007F2000" w14:paraId="47CE98C0" w14:textId="77777777">
        <w:tc>
          <w:tcPr>
            <w:tcW w:w="3539" w:type="dxa"/>
          </w:tcPr>
          <w:p w14:paraId="148BF11F" w14:textId="77777777" w:rsidR="00002FFB" w:rsidRPr="007F2000" w:rsidRDefault="00F95B43" w:rsidP="00057AB6">
            <w:pPr>
              <w:rPr>
                <w:b/>
              </w:rPr>
            </w:pPr>
            <w:r w:rsidRPr="007F2000">
              <w:rPr>
                <w:b/>
              </w:rPr>
              <w:t>Función:</w:t>
            </w:r>
          </w:p>
        </w:tc>
        <w:tc>
          <w:tcPr>
            <w:tcW w:w="4955" w:type="dxa"/>
          </w:tcPr>
          <w:p w14:paraId="57ADF64C" w14:textId="77777777" w:rsidR="00002FFB" w:rsidRPr="007F2000" w:rsidRDefault="00F95B43" w:rsidP="00057AB6">
            <w:r w:rsidRPr="007F2000">
              <w:t>2</w:t>
            </w:r>
            <w:r w:rsidRPr="007F2000">
              <w:rPr>
                <w:rFonts w:eastAsia="Times New Roman"/>
                <w:lang w:val="en-US"/>
              </w:rPr>
              <w:t>2 Educación</w:t>
            </w:r>
          </w:p>
        </w:tc>
      </w:tr>
      <w:tr w:rsidR="00057AB6" w:rsidRPr="007F2000" w14:paraId="33B5D58C" w14:textId="77777777">
        <w:tc>
          <w:tcPr>
            <w:tcW w:w="3539" w:type="dxa"/>
          </w:tcPr>
          <w:p w14:paraId="5BC6E11B" w14:textId="77777777" w:rsidR="00002FFB" w:rsidRPr="007F2000" w:rsidRDefault="00F95B43" w:rsidP="00057AB6">
            <w:pPr>
              <w:rPr>
                <w:b/>
              </w:rPr>
            </w:pPr>
            <w:r w:rsidRPr="007F2000">
              <w:rPr>
                <w:b/>
              </w:rPr>
              <w:t>División funcional:</w:t>
            </w:r>
          </w:p>
        </w:tc>
        <w:tc>
          <w:tcPr>
            <w:tcW w:w="4955" w:type="dxa"/>
          </w:tcPr>
          <w:p w14:paraId="77B69D1A" w14:textId="77777777" w:rsidR="00002FFB" w:rsidRPr="007F2000" w:rsidRDefault="00F95B43" w:rsidP="00057AB6">
            <w:r w:rsidRPr="007F2000">
              <w:rPr>
                <w:lang w:val="en-US"/>
              </w:rPr>
              <w:t>047 Educación Básica</w:t>
            </w:r>
          </w:p>
        </w:tc>
      </w:tr>
      <w:tr w:rsidR="00057AB6" w:rsidRPr="007F2000" w14:paraId="2521A0EB" w14:textId="77777777">
        <w:tc>
          <w:tcPr>
            <w:tcW w:w="3539" w:type="dxa"/>
          </w:tcPr>
          <w:p w14:paraId="61CE334D" w14:textId="77777777" w:rsidR="00002FFB" w:rsidRPr="007F2000" w:rsidRDefault="00F95B43" w:rsidP="00057AB6">
            <w:pPr>
              <w:rPr>
                <w:b/>
              </w:rPr>
            </w:pPr>
            <w:r w:rsidRPr="007F2000">
              <w:rPr>
                <w:b/>
              </w:rPr>
              <w:t xml:space="preserve">Grupo funcional: </w:t>
            </w:r>
          </w:p>
        </w:tc>
        <w:tc>
          <w:tcPr>
            <w:tcW w:w="4955" w:type="dxa"/>
          </w:tcPr>
          <w:p w14:paraId="3E92E9D7" w14:textId="77777777" w:rsidR="00002FFB" w:rsidRPr="007F2000" w:rsidRDefault="00F95B43" w:rsidP="00057AB6">
            <w:r w:rsidRPr="007F2000">
              <w:t>0103 Educación Inicial</w:t>
            </w:r>
          </w:p>
        </w:tc>
      </w:tr>
      <w:tr w:rsidR="00057AB6" w:rsidRPr="007F2000" w14:paraId="3E94C2B7" w14:textId="77777777">
        <w:tc>
          <w:tcPr>
            <w:tcW w:w="3539" w:type="dxa"/>
          </w:tcPr>
          <w:p w14:paraId="1627199C" w14:textId="77777777" w:rsidR="00002FFB" w:rsidRPr="007F2000" w:rsidRDefault="00F95B43" w:rsidP="00057AB6">
            <w:pPr>
              <w:rPr>
                <w:b/>
              </w:rPr>
            </w:pPr>
            <w:r w:rsidRPr="007F2000">
              <w:rPr>
                <w:b/>
              </w:rPr>
              <w:t>Servicio asociado:</w:t>
            </w:r>
          </w:p>
        </w:tc>
        <w:tc>
          <w:tcPr>
            <w:tcW w:w="4955" w:type="dxa"/>
          </w:tcPr>
          <w:p w14:paraId="750E3F06" w14:textId="77777777" w:rsidR="00002FFB" w:rsidRPr="007F2000" w:rsidRDefault="00F95B43" w:rsidP="00057AB6">
            <w:r w:rsidRPr="007F2000">
              <w:rPr>
                <w:rFonts w:eastAsia="Times New Roman"/>
                <w:szCs w:val="20"/>
                <w:lang w:val="en-US"/>
              </w:rPr>
              <w:t>Servicio de Educación Inicial</w:t>
            </w:r>
          </w:p>
        </w:tc>
      </w:tr>
      <w:tr w:rsidR="00002FFB" w:rsidRPr="007F2000" w14:paraId="1734AC67" w14:textId="77777777">
        <w:tc>
          <w:tcPr>
            <w:tcW w:w="3539" w:type="dxa"/>
          </w:tcPr>
          <w:p w14:paraId="6BFEB1EE" w14:textId="77777777" w:rsidR="00002FFB" w:rsidRPr="007F2000" w:rsidRDefault="00F95B43" w:rsidP="00057AB6">
            <w:pPr>
              <w:rPr>
                <w:b/>
              </w:rPr>
            </w:pPr>
            <w:r w:rsidRPr="007F2000">
              <w:rPr>
                <w:b/>
              </w:rPr>
              <w:t>Tipología de proyecto de inversión:</w:t>
            </w:r>
          </w:p>
        </w:tc>
        <w:tc>
          <w:tcPr>
            <w:tcW w:w="4955" w:type="dxa"/>
          </w:tcPr>
          <w:p w14:paraId="24FCF44B" w14:textId="77777777" w:rsidR="00002FFB" w:rsidRPr="007F2000" w:rsidRDefault="00F95B43" w:rsidP="00057AB6">
            <w:pPr>
              <w:tabs>
                <w:tab w:val="left" w:pos="3110"/>
              </w:tabs>
            </w:pPr>
            <w:r w:rsidRPr="007F2000">
              <w:t>Educación Inicial</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3B27F6" w14:paraId="5E448942" w14:textId="77777777" w:rsidTr="00190BF5">
        <w:trPr>
          <w:trHeight w:val="841"/>
        </w:trPr>
        <w:tc>
          <w:tcPr>
            <w:tcW w:w="8529" w:type="dxa"/>
            <w:tcBorders>
              <w:left w:val="single" w:sz="4" w:space="0" w:color="auto"/>
            </w:tcBorders>
          </w:tcPr>
          <w:p w14:paraId="066E8B4B" w14:textId="77777777" w:rsidR="007F2000" w:rsidRDefault="007F2000" w:rsidP="00190BF5">
            <w:pPr>
              <w:rPr>
                <w:b/>
              </w:rPr>
            </w:pPr>
          </w:p>
          <w:p w14:paraId="1FFEEB49" w14:textId="53C9F951" w:rsidR="00002FFB" w:rsidRPr="007F2000" w:rsidRDefault="00F95B43" w:rsidP="00190BF5">
            <w:r w:rsidRPr="007F2000">
              <w:rPr>
                <w:b/>
              </w:rPr>
              <w:t>Descripción</w:t>
            </w:r>
            <w:r w:rsidRPr="007F2000">
              <w:t>:</w:t>
            </w:r>
          </w:p>
          <w:p w14:paraId="11950CE4" w14:textId="77777777" w:rsidR="00002FFB" w:rsidRPr="007F2000" w:rsidRDefault="00002FFB" w:rsidP="00057AB6">
            <w:pPr>
              <w:pStyle w:val="Prrafodelista"/>
              <w:ind w:left="313"/>
            </w:pPr>
          </w:p>
          <w:p w14:paraId="202AE6FB" w14:textId="77777777" w:rsidR="007F2000" w:rsidRPr="007F2000" w:rsidRDefault="007F2000" w:rsidP="007F2000">
            <w:pPr>
              <w:pStyle w:val="Prrafodelista"/>
              <w:ind w:left="313"/>
              <w:jc w:val="both"/>
              <w:rPr>
                <w:b/>
              </w:rPr>
            </w:pPr>
            <w:r w:rsidRPr="007F2000">
              <w:rPr>
                <w:b/>
              </w:rPr>
              <w:t>Servicio de Educación Inicial</w:t>
            </w:r>
          </w:p>
          <w:p w14:paraId="28EBFC1C" w14:textId="77777777" w:rsidR="007F2000" w:rsidRPr="007F2000" w:rsidRDefault="007F2000" w:rsidP="007F2000">
            <w:pPr>
              <w:pStyle w:val="Prrafodelista"/>
              <w:ind w:left="313"/>
              <w:jc w:val="both"/>
            </w:pPr>
          </w:p>
          <w:p w14:paraId="0033783F" w14:textId="77777777" w:rsidR="007F2000" w:rsidRPr="007A514E" w:rsidRDefault="007F2000" w:rsidP="001148CA">
            <w:pPr>
              <w:pStyle w:val="Prrafodelista"/>
              <w:ind w:left="313"/>
              <w:jc w:val="both"/>
              <w:rPr>
                <w:i/>
              </w:rPr>
            </w:pPr>
            <w:r w:rsidRPr="007A514E">
              <w:rPr>
                <w:i/>
              </w:rPr>
              <w:t>“La Educación Inicial constituye el primer nivel de la Educación Básica Regular, y comprende a niños menores de 6 años y se desarrolla en forma escolarizada y no escolarizada conforme a los términos que establezca el Reglamento. El Estado asume también sus necesidades de salud y nutrición a través de una acción intersectorial. Se articula con el nivel de Educación Primaria asegurando coherencia pedagógica y curricular, conservando su identidad, especificidad, autonomía administrativa y de gestión.</w:t>
            </w:r>
          </w:p>
          <w:p w14:paraId="5198B398" w14:textId="77777777" w:rsidR="007F2000" w:rsidRPr="007A514E" w:rsidRDefault="007F2000" w:rsidP="001148CA">
            <w:pPr>
              <w:pStyle w:val="Prrafodelista"/>
              <w:ind w:left="313"/>
              <w:jc w:val="both"/>
              <w:rPr>
                <w:i/>
              </w:rPr>
            </w:pPr>
          </w:p>
          <w:p w14:paraId="6A2EBC96" w14:textId="77777777" w:rsidR="007F2000" w:rsidRPr="007F2000" w:rsidRDefault="007F2000" w:rsidP="001148CA">
            <w:pPr>
              <w:pStyle w:val="Prrafodelista"/>
              <w:ind w:left="313"/>
              <w:jc w:val="both"/>
            </w:pPr>
            <w:r w:rsidRPr="007A514E">
              <w:rPr>
                <w:i/>
              </w:rPr>
              <w:t>Con participación de la familia y de la comunidad, la Educación Inicial cumple la finalidad de promover prácticas de crianza que contribuyan al desarrollo integral de los niños, tomando en cuenta su crecimiento socioafectivo y cognitivo, la expresión oral y artística y la sicomotricidad y el respeto de sus derechos.”</w:t>
            </w:r>
            <w:r w:rsidRPr="00C27BAE">
              <w:t xml:space="preserve"> (Norma 1)</w:t>
            </w:r>
          </w:p>
          <w:p w14:paraId="6E855288" w14:textId="2BD65F3A" w:rsidR="00E03C97" w:rsidRPr="00FB7B1E" w:rsidRDefault="00FB7B1E" w:rsidP="001148CA">
            <w:pPr>
              <w:pStyle w:val="NormalWeb"/>
              <w:ind w:left="306"/>
              <w:jc w:val="both"/>
              <w:rPr>
                <w:rFonts w:asciiTheme="minorHAnsi" w:eastAsiaTheme="minorHAnsi" w:hAnsiTheme="minorHAnsi" w:cstheme="minorBidi"/>
                <w:i/>
                <w:sz w:val="22"/>
                <w:szCs w:val="22"/>
                <w:lang w:eastAsia="en-US"/>
              </w:rPr>
            </w:pPr>
            <w:r w:rsidRPr="00FB7B1E">
              <w:rPr>
                <w:rFonts w:asciiTheme="minorHAnsi" w:eastAsiaTheme="minorHAnsi" w:hAnsiTheme="minorHAnsi" w:cstheme="minorBidi"/>
                <w:i/>
                <w:sz w:val="22"/>
                <w:szCs w:val="22"/>
                <w:lang w:eastAsia="en-US"/>
              </w:rPr>
              <w:t>“</w:t>
            </w:r>
            <w:r w:rsidR="00E03C97" w:rsidRPr="00FB7B1E">
              <w:rPr>
                <w:rFonts w:asciiTheme="minorHAnsi" w:eastAsiaTheme="minorHAnsi" w:hAnsiTheme="minorHAnsi" w:cstheme="minorBidi"/>
                <w:i/>
                <w:sz w:val="22"/>
                <w:szCs w:val="22"/>
                <w:lang w:eastAsia="en-US"/>
              </w:rPr>
              <w:t xml:space="preserve">La Educación Inicial </w:t>
            </w:r>
            <w:bookmarkStart w:id="0" w:name="_Hlk138756790"/>
            <w:r w:rsidR="00E03C97" w:rsidRPr="00FB7B1E">
              <w:rPr>
                <w:rFonts w:asciiTheme="minorHAnsi" w:eastAsiaTheme="minorHAnsi" w:hAnsiTheme="minorHAnsi" w:cstheme="minorBidi"/>
                <w:i/>
                <w:sz w:val="22"/>
                <w:szCs w:val="22"/>
                <w:lang w:eastAsia="en-US"/>
              </w:rPr>
              <w:t>es el primer nivel de la Educación Básica Regular</w:t>
            </w:r>
            <w:bookmarkEnd w:id="0"/>
            <w:r w:rsidR="00E03C97" w:rsidRPr="00FB7B1E">
              <w:rPr>
                <w:rFonts w:asciiTheme="minorHAnsi" w:eastAsiaTheme="minorHAnsi" w:hAnsiTheme="minorHAnsi" w:cstheme="minorBidi"/>
                <w:i/>
                <w:sz w:val="22"/>
                <w:szCs w:val="22"/>
                <w:lang w:eastAsia="en-US"/>
              </w:rPr>
              <w:t>. Atiende a niños y niñas menores de 6 años de edad, con enfoque intercultural e inclusivo, promoviendo el desarrollo y aprendizaje infantil mediante acciones educativas. Contribuye a un adecuado proceso de transición del hogar al sistema educativo, a través de diferentes tipos y formas de servicios educativos, con estrategias que funcionan con la participación la familia, agentes comunitarios y autoridades de los gobiernos locales.</w:t>
            </w:r>
          </w:p>
          <w:p w14:paraId="0BBC1D60" w14:textId="731A782F" w:rsidR="00E03C97" w:rsidRPr="00FB7B1E" w:rsidRDefault="00E03C97" w:rsidP="001148CA">
            <w:pPr>
              <w:pStyle w:val="NormalWeb"/>
              <w:ind w:left="306"/>
              <w:jc w:val="both"/>
              <w:rPr>
                <w:rFonts w:asciiTheme="minorHAnsi" w:eastAsiaTheme="minorHAnsi" w:hAnsiTheme="minorHAnsi" w:cstheme="minorBidi"/>
                <w:i/>
                <w:sz w:val="22"/>
                <w:szCs w:val="22"/>
                <w:lang w:eastAsia="en-US"/>
              </w:rPr>
            </w:pPr>
            <w:r w:rsidRPr="00FB7B1E">
              <w:rPr>
                <w:rFonts w:asciiTheme="minorHAnsi" w:eastAsiaTheme="minorHAnsi" w:hAnsiTheme="minorHAnsi" w:cstheme="minorBidi"/>
                <w:i/>
                <w:sz w:val="22"/>
                <w:szCs w:val="22"/>
                <w:lang w:eastAsia="en-US"/>
              </w:rPr>
              <w:t>La Educación Inicial comprende la responsabilidad del Estado de proveer servicios educativos diversos de 0 a 2 años, dirigidos a los niños y/o a sus familias. A partir de los 3 años, se enfatiza la obligación de las familias de hacer participar a los niños en servicios escolarizados o no escolarizados de Educación Inicial.</w:t>
            </w:r>
          </w:p>
          <w:p w14:paraId="4ABFA9FD" w14:textId="350F9436" w:rsidR="00E03C97" w:rsidRPr="001148CA" w:rsidRDefault="00E03C97" w:rsidP="001148CA">
            <w:pPr>
              <w:pStyle w:val="NormalWeb"/>
              <w:ind w:left="306"/>
              <w:jc w:val="both"/>
              <w:rPr>
                <w:rFonts w:asciiTheme="minorHAnsi" w:eastAsiaTheme="minorHAnsi" w:hAnsiTheme="minorHAnsi" w:cstheme="minorBidi"/>
                <w:i/>
                <w:sz w:val="22"/>
                <w:szCs w:val="22"/>
                <w:lang w:eastAsia="en-US"/>
              </w:rPr>
            </w:pPr>
            <w:r w:rsidRPr="00FB7B1E">
              <w:rPr>
                <w:rFonts w:asciiTheme="minorHAnsi" w:eastAsiaTheme="minorHAnsi" w:hAnsiTheme="minorHAnsi" w:cstheme="minorBidi"/>
                <w:i/>
                <w:sz w:val="22"/>
                <w:szCs w:val="22"/>
                <w:lang w:eastAsia="en-US"/>
              </w:rPr>
              <w:t xml:space="preserve">La atención integral en Educación Inicial implica, brindar una educación que promueva el desarrollo infantil en sus múltiples dimensiones (cognitiva, física, motora, social, emocional). Por otro lado, implica asegurar que los niños y niñas que asisten a los servicios educativos del nivel inicial reciban servicios complementarios como la atención en salud, </w:t>
            </w:r>
            <w:r w:rsidRPr="00FB7B1E">
              <w:rPr>
                <w:rFonts w:asciiTheme="minorHAnsi" w:eastAsiaTheme="minorHAnsi" w:hAnsiTheme="minorHAnsi" w:cstheme="minorBidi"/>
                <w:i/>
                <w:sz w:val="22"/>
                <w:szCs w:val="22"/>
                <w:lang w:eastAsia="en-US"/>
              </w:rPr>
              <w:lastRenderedPageBreak/>
              <w:t>nutrición, protección, acceso al registro legal de identidad, servicios de cuidado, u otros que aseguren condiciones básicas para su desarrollo</w:t>
            </w:r>
            <w:r w:rsidR="00FB7B1E" w:rsidRPr="00FB7B1E">
              <w:rPr>
                <w:rFonts w:asciiTheme="minorHAnsi" w:eastAsiaTheme="minorHAnsi" w:hAnsiTheme="minorHAnsi" w:cstheme="minorBidi"/>
                <w:i/>
                <w:sz w:val="22"/>
                <w:szCs w:val="22"/>
                <w:lang w:eastAsia="en-US"/>
              </w:rPr>
              <w:t>”</w:t>
            </w:r>
            <w:r w:rsidRPr="00FB7B1E">
              <w:rPr>
                <w:rFonts w:asciiTheme="minorHAnsi" w:eastAsiaTheme="minorHAnsi" w:hAnsiTheme="minorHAnsi" w:cstheme="minorBidi"/>
                <w:i/>
                <w:sz w:val="22"/>
                <w:szCs w:val="22"/>
                <w:lang w:eastAsia="en-US"/>
              </w:rPr>
              <w:t>.</w:t>
            </w:r>
            <w:r w:rsidR="00FB7B1E" w:rsidRPr="00FB7B1E">
              <w:rPr>
                <w:rFonts w:asciiTheme="minorHAnsi" w:eastAsiaTheme="minorHAnsi" w:hAnsiTheme="minorHAnsi" w:cstheme="minorBidi"/>
                <w:i/>
                <w:sz w:val="22"/>
                <w:szCs w:val="22"/>
                <w:lang w:eastAsia="en-US"/>
              </w:rPr>
              <w:t xml:space="preserve"> </w:t>
            </w:r>
            <w:r w:rsidR="00FB7B1E" w:rsidRPr="00FB7B1E">
              <w:rPr>
                <w:rFonts w:asciiTheme="minorHAnsi" w:eastAsiaTheme="minorHAnsi" w:hAnsiTheme="minorHAnsi" w:cstheme="minorBidi"/>
                <w:iCs/>
                <w:sz w:val="22"/>
                <w:szCs w:val="22"/>
                <w:lang w:eastAsia="en-US"/>
              </w:rPr>
              <w:t>(Norma 2)</w:t>
            </w:r>
          </w:p>
          <w:p w14:paraId="51AB472C" w14:textId="77777777" w:rsidR="00002FFB" w:rsidRPr="007F2000" w:rsidRDefault="00F95B43" w:rsidP="00190BF5">
            <w:pPr>
              <w:rPr>
                <w:b/>
              </w:rPr>
            </w:pPr>
            <w:r w:rsidRPr="007F2000">
              <w:rPr>
                <w:b/>
              </w:rPr>
              <w:t>Norma Legal:</w:t>
            </w:r>
          </w:p>
          <w:p w14:paraId="32D64C1C" w14:textId="77777777" w:rsidR="00002FFB" w:rsidRPr="007F2000" w:rsidRDefault="00002FFB" w:rsidP="00057AB6">
            <w:pPr>
              <w:pStyle w:val="Prrafodelista"/>
              <w:ind w:left="1080"/>
            </w:pPr>
          </w:p>
          <w:p w14:paraId="47766F2E" w14:textId="71242C70" w:rsidR="007F2000" w:rsidRPr="007F2000" w:rsidRDefault="007F2000" w:rsidP="007F2000">
            <w:pPr>
              <w:pStyle w:val="Prrafodelista"/>
              <w:ind w:left="673"/>
              <w:jc w:val="both"/>
            </w:pPr>
            <w:r w:rsidRPr="00C27BAE">
              <w:t>(</w:t>
            </w:r>
            <w:r w:rsidR="003C7A5F" w:rsidRPr="00C27BAE">
              <w:t xml:space="preserve">Norma </w:t>
            </w:r>
            <w:r w:rsidRPr="00C27BAE">
              <w:t xml:space="preserve">1) Literal a) del </w:t>
            </w:r>
            <w:r w:rsidR="004F263F">
              <w:t>a</w:t>
            </w:r>
            <w:r w:rsidRPr="00C27BAE">
              <w:t xml:space="preserve">rtículo 36 de la Ley </w:t>
            </w:r>
            <w:r w:rsidR="004F263F">
              <w:t xml:space="preserve">N° 28044, Ley </w:t>
            </w:r>
            <w:r w:rsidRPr="00C27BAE">
              <w:t xml:space="preserve">General de Educación </w:t>
            </w:r>
            <w:r w:rsidR="004F263F">
              <w:t>y sus modificatorias.</w:t>
            </w:r>
          </w:p>
          <w:p w14:paraId="25940F61" w14:textId="0CA067FA" w:rsidR="007F2000" w:rsidRDefault="007F2000" w:rsidP="007F2000">
            <w:pPr>
              <w:pStyle w:val="Prrafodelista"/>
              <w:ind w:left="673"/>
              <w:jc w:val="both"/>
              <w:rPr>
                <w:lang w:val="en-US"/>
              </w:rPr>
            </w:pPr>
            <w:r w:rsidRPr="007F2000">
              <w:rPr>
                <w:lang w:val="en-US"/>
              </w:rPr>
              <w:t xml:space="preserve">Link: </w:t>
            </w:r>
            <w:hyperlink r:id="rId8" w:history="1">
              <w:r w:rsidRPr="00472B42">
                <w:rPr>
                  <w:rStyle w:val="Hipervnculo"/>
                  <w:lang w:val="en-US"/>
                </w:rPr>
                <w:t>http://www.minedu.gob.pe/p/ley_general_de_educacion_28044.pdf</w:t>
              </w:r>
            </w:hyperlink>
          </w:p>
          <w:p w14:paraId="6B944354" w14:textId="77777777" w:rsidR="007F2000" w:rsidRPr="007F2000" w:rsidRDefault="007F2000" w:rsidP="007F2000">
            <w:pPr>
              <w:pStyle w:val="Prrafodelista"/>
              <w:ind w:left="673"/>
              <w:jc w:val="both"/>
              <w:rPr>
                <w:lang w:val="en-US"/>
              </w:rPr>
            </w:pPr>
          </w:p>
          <w:p w14:paraId="288274AF" w14:textId="1603E1E3" w:rsidR="00FB7B1E" w:rsidRDefault="007F2000" w:rsidP="007F2000">
            <w:pPr>
              <w:pStyle w:val="Prrafodelista"/>
              <w:ind w:left="673"/>
              <w:jc w:val="both"/>
            </w:pPr>
            <w:r w:rsidRPr="00C27BAE">
              <w:t>(</w:t>
            </w:r>
            <w:r w:rsidR="003C7A5F" w:rsidRPr="00C27BAE">
              <w:t xml:space="preserve">Norma </w:t>
            </w:r>
            <w:r w:rsidRPr="00C27BAE">
              <w:t xml:space="preserve">2) </w:t>
            </w:r>
            <w:r w:rsidR="00FB7B1E">
              <w:t xml:space="preserve">Artículo 48 del </w:t>
            </w:r>
            <w:r w:rsidR="00E03C97">
              <w:t xml:space="preserve">Reglamento de la Ley N° 28044, Ley </w:t>
            </w:r>
            <w:r w:rsidR="001148CA">
              <w:t>G</w:t>
            </w:r>
            <w:r w:rsidR="00E03C97">
              <w:t xml:space="preserve">eneral de </w:t>
            </w:r>
            <w:r w:rsidR="001148CA">
              <w:t>E</w:t>
            </w:r>
            <w:r w:rsidR="00E03C97">
              <w:t xml:space="preserve">ducación, aprobado por Decreto Supremo N° </w:t>
            </w:r>
            <w:r w:rsidR="00E03C97">
              <w:rPr>
                <w:rStyle w:val="decretossupremos"/>
                <w:rFonts w:ascii="Arial" w:eastAsia="Times New Roman" w:hAnsi="Arial" w:cs="Arial"/>
                <w:sz w:val="20"/>
                <w:szCs w:val="20"/>
              </w:rPr>
              <w:t>011-2012-ED</w:t>
            </w:r>
            <w:r w:rsidR="00E03C97" w:rsidRPr="00C27BAE">
              <w:t xml:space="preserve"> </w:t>
            </w:r>
            <w:r w:rsidR="00E03C97">
              <w:t>y sus modificatorias.</w:t>
            </w:r>
          </w:p>
          <w:p w14:paraId="4AB327F4" w14:textId="35D9825E" w:rsidR="001148CA" w:rsidRDefault="007F2000" w:rsidP="001148CA">
            <w:pPr>
              <w:pStyle w:val="Prrafodelista"/>
              <w:ind w:left="673"/>
              <w:jc w:val="both"/>
              <w:rPr>
                <w:lang w:val="en-US"/>
              </w:rPr>
            </w:pPr>
            <w:r w:rsidRPr="007F2000">
              <w:rPr>
                <w:lang w:val="en-US"/>
              </w:rPr>
              <w:t xml:space="preserve">Link: </w:t>
            </w:r>
            <w:hyperlink r:id="rId9" w:history="1">
              <w:r w:rsidR="001148CA" w:rsidRPr="005A3CCF">
                <w:rPr>
                  <w:rStyle w:val="Hipervnculo"/>
                  <w:lang w:val="en-US"/>
                </w:rPr>
                <w:t>http://www.minedu.gob.pe/files/3896_201207100937.pdf</w:t>
              </w:r>
            </w:hyperlink>
          </w:p>
          <w:p w14:paraId="67C07B3C" w14:textId="10A23629" w:rsidR="001148CA" w:rsidRPr="007F2000" w:rsidRDefault="001148CA" w:rsidP="001148CA">
            <w:pPr>
              <w:pStyle w:val="Prrafodelista"/>
              <w:ind w:left="673"/>
              <w:jc w:val="both"/>
              <w:rPr>
                <w:lang w:val="en-US"/>
              </w:rPr>
            </w:pPr>
          </w:p>
        </w:tc>
      </w:tr>
      <w:tr w:rsidR="00057AB6" w:rsidRPr="007F2000" w14:paraId="509F030F" w14:textId="77777777">
        <w:trPr>
          <w:trHeight w:val="260"/>
        </w:trPr>
        <w:tc>
          <w:tcPr>
            <w:tcW w:w="8529" w:type="dxa"/>
            <w:tcBorders>
              <w:left w:val="single" w:sz="4" w:space="0" w:color="auto"/>
            </w:tcBorders>
            <w:shd w:val="clear" w:color="auto" w:fill="000000" w:themeFill="text1"/>
          </w:tcPr>
          <w:p w14:paraId="203FF4CC" w14:textId="673E7806" w:rsidR="00002FFB" w:rsidRPr="007F2000" w:rsidRDefault="00190BF5" w:rsidP="00057AB6">
            <w:r w:rsidRPr="007F2000">
              <w:rPr>
                <w:b/>
              </w:rPr>
              <w:lastRenderedPageBreak/>
              <w:t>Nivel</w:t>
            </w:r>
            <w:r w:rsidR="00F95B43" w:rsidRPr="007F2000">
              <w:rPr>
                <w:b/>
              </w:rPr>
              <w:t xml:space="preserve"> de Servicio</w:t>
            </w:r>
            <w:r w:rsidR="00F95B43" w:rsidRPr="007F2000">
              <w:rPr>
                <w:rStyle w:val="Refdenotaalpie"/>
                <w:b/>
              </w:rPr>
              <w:footnoteReference w:id="1"/>
            </w:r>
          </w:p>
        </w:tc>
      </w:tr>
      <w:tr w:rsidR="00057AB6" w:rsidRPr="003B27F6" w14:paraId="5AFB2F64" w14:textId="77777777">
        <w:trPr>
          <w:trHeight w:val="260"/>
        </w:trPr>
        <w:tc>
          <w:tcPr>
            <w:tcW w:w="8529" w:type="dxa"/>
            <w:tcBorders>
              <w:left w:val="single" w:sz="4" w:space="0" w:color="auto"/>
            </w:tcBorders>
          </w:tcPr>
          <w:p w14:paraId="7F454531" w14:textId="77777777" w:rsidR="00002FFB" w:rsidRPr="007F2000" w:rsidRDefault="00F95B43" w:rsidP="00190BF5">
            <w:r w:rsidRPr="007F2000">
              <w:rPr>
                <w:b/>
              </w:rPr>
              <w:t>Descripción</w:t>
            </w:r>
            <w:r w:rsidRPr="007F2000">
              <w:t>:</w:t>
            </w:r>
          </w:p>
          <w:p w14:paraId="1F7C547A" w14:textId="77777777" w:rsidR="00002FFB" w:rsidRPr="007F2000" w:rsidRDefault="00002FFB" w:rsidP="00057AB6">
            <w:pPr>
              <w:pStyle w:val="Prrafodelista"/>
              <w:ind w:left="1080"/>
              <w:rPr>
                <w:sz w:val="14"/>
              </w:rPr>
            </w:pPr>
          </w:p>
          <w:p w14:paraId="435BF693" w14:textId="655839A9" w:rsidR="007F2000" w:rsidRDefault="007F2000" w:rsidP="007F2000">
            <w:pPr>
              <w:pStyle w:val="Prrafodelista"/>
              <w:ind w:left="313"/>
              <w:jc w:val="both"/>
            </w:pPr>
            <w:r>
              <w:t xml:space="preserve">De acuerdo al </w:t>
            </w:r>
            <w:r w:rsidR="00E03C97">
              <w:t>a</w:t>
            </w:r>
            <w:r>
              <w:t xml:space="preserve">rtículo 54 del Reglamento de la Ley </w:t>
            </w:r>
            <w:r w:rsidR="00E03C97">
              <w:t xml:space="preserve">N° 28044, Ley </w:t>
            </w:r>
            <w:r>
              <w:t xml:space="preserve">General </w:t>
            </w:r>
            <w:r w:rsidRPr="00C27BAE">
              <w:t xml:space="preserve">de Educación (Norma 3) y la Norma Técnica “Normas para la planificación, creación, implementación, funcionamiento, evaluación, renovación y cierre de los Programas No Escolarizados de Educación Inicial - PRONOEI” (Norma 4), </w:t>
            </w:r>
            <w:r w:rsidR="008917B2" w:rsidRPr="00C27BAE">
              <w:t xml:space="preserve">se </w:t>
            </w:r>
            <w:r w:rsidRPr="00C27BAE">
              <w:t>identific</w:t>
            </w:r>
            <w:r w:rsidR="00E03C97">
              <w:t>an</w:t>
            </w:r>
            <w:r w:rsidRPr="00C27BAE">
              <w:t xml:space="preserve"> los siguientes niveles de servicio en el marco del </w:t>
            </w:r>
            <w:r w:rsidR="009C4AEF" w:rsidRPr="009C4AEF">
              <w:t>Sistema Nacional de Programación Multianual y Gestión de Inversiones</w:t>
            </w:r>
            <w:r w:rsidR="00E03C97">
              <w:t xml:space="preserve"> (SNPMGI)</w:t>
            </w:r>
            <w:r w:rsidRPr="00C27BAE">
              <w:t>:</w:t>
            </w:r>
            <w:r>
              <w:t xml:space="preserve"> </w:t>
            </w:r>
          </w:p>
          <w:p w14:paraId="3A0F49BB" w14:textId="77777777" w:rsidR="007F2000" w:rsidRDefault="007F2000" w:rsidP="007F2000">
            <w:pPr>
              <w:pStyle w:val="Prrafodelista"/>
              <w:ind w:left="313"/>
              <w:jc w:val="both"/>
            </w:pPr>
          </w:p>
          <w:p w14:paraId="778C6D16" w14:textId="04A8EFF3" w:rsidR="007F2000" w:rsidRDefault="007F2000" w:rsidP="007F2000">
            <w:pPr>
              <w:pStyle w:val="Prrafodelista"/>
              <w:ind w:left="313"/>
              <w:jc w:val="both"/>
            </w:pPr>
            <w:r w:rsidRPr="007F2000">
              <w:rPr>
                <w:b/>
              </w:rPr>
              <w:t>i. Cuna (Ciclo I</w:t>
            </w:r>
            <w:proofErr w:type="gramStart"/>
            <w:r w:rsidRPr="007F2000">
              <w:rPr>
                <w:b/>
              </w:rPr>
              <w:t>).-</w:t>
            </w:r>
            <w:proofErr w:type="gramEnd"/>
            <w:r>
              <w:t xml:space="preserve"> La Cuna (Ciclo I) atiende a niños y niñas menores de 3 años de edad, quienes reciben una atención integral durante un tiempo no menor de cinco días a la semana, en horarios de ocho horas diarias como máximo, según lo establecido en el </w:t>
            </w:r>
            <w:r w:rsidR="002607DD">
              <w:t xml:space="preserve">a) del </w:t>
            </w:r>
            <w:r>
              <w:t>artículo 54 de</w:t>
            </w:r>
            <w:r w:rsidR="002607DD">
              <w:t xml:space="preserve">l </w:t>
            </w:r>
            <w:r>
              <w:t xml:space="preserve">Reglamento de la Ley </w:t>
            </w:r>
            <w:r w:rsidR="002607DD">
              <w:t xml:space="preserve">N° 28044, Ley </w:t>
            </w:r>
            <w:r>
              <w:t xml:space="preserve">General de Educación. </w:t>
            </w:r>
          </w:p>
          <w:p w14:paraId="6141E33F" w14:textId="77777777" w:rsidR="007F2000" w:rsidRDefault="007F2000" w:rsidP="007F2000">
            <w:pPr>
              <w:pStyle w:val="Prrafodelista"/>
              <w:ind w:left="313"/>
              <w:jc w:val="both"/>
            </w:pPr>
          </w:p>
          <w:p w14:paraId="37B7C446" w14:textId="1EEAFF79" w:rsidR="007F2000" w:rsidRDefault="007F2000" w:rsidP="007F2000">
            <w:pPr>
              <w:pStyle w:val="Prrafodelista"/>
              <w:ind w:left="313"/>
              <w:jc w:val="both"/>
            </w:pPr>
            <w:r w:rsidRPr="007F2000">
              <w:rPr>
                <w:b/>
              </w:rPr>
              <w:t>ii. Jardín (Ciclo II).-</w:t>
            </w:r>
            <w:r>
              <w:t xml:space="preserve"> El Jardín (Ciclo II) atiende a niños y niñas de 3 a 5 años de edad. Se adecúa a las características y necesidades específicas de los niños y niñas, las familias y el medio. Están bajo responsabilidad de profesionales de Educación inicial con el apoyo de auxiliares de educación, según lo establecido en el</w:t>
            </w:r>
            <w:r w:rsidR="002607DD">
              <w:t xml:space="preserve"> literal b) del </w:t>
            </w:r>
            <w:r>
              <w:t xml:space="preserve"> artículo 54 del Reglamento de la Ley </w:t>
            </w:r>
            <w:r w:rsidR="002607DD">
              <w:t xml:space="preserve">N° 28044, Ley </w:t>
            </w:r>
            <w:r>
              <w:t>General de Educación.</w:t>
            </w:r>
          </w:p>
          <w:p w14:paraId="1FF189D9" w14:textId="77777777" w:rsidR="007F2000" w:rsidRDefault="007F2000" w:rsidP="007F2000">
            <w:pPr>
              <w:pStyle w:val="Prrafodelista"/>
              <w:ind w:left="313"/>
              <w:jc w:val="both"/>
            </w:pPr>
          </w:p>
          <w:p w14:paraId="10420A33" w14:textId="15647C03" w:rsidR="007F2000" w:rsidRDefault="007F2000" w:rsidP="007F2000">
            <w:pPr>
              <w:pStyle w:val="Prrafodelista"/>
              <w:ind w:left="313"/>
              <w:jc w:val="both"/>
            </w:pPr>
            <w:r w:rsidRPr="007F2000">
              <w:rPr>
                <w:b/>
              </w:rPr>
              <w:t>iii. Cuna-Jardín (Ciclo I y Ciclo II).-</w:t>
            </w:r>
            <w:r>
              <w:t xml:space="preserve"> La Cuna-Jardín (Ciclo I y II) atiende en un mismo local escolar a niños y niñas menores de 6 años de edad, según lo establecido en el </w:t>
            </w:r>
            <w:r w:rsidR="002607DD">
              <w:t xml:space="preserve">literal c) del </w:t>
            </w:r>
            <w:r>
              <w:t xml:space="preserve">artículo 54 del Reglamento de la Ley </w:t>
            </w:r>
            <w:r w:rsidR="002607DD">
              <w:t xml:space="preserve">N° 28044, Ley </w:t>
            </w:r>
            <w:r>
              <w:t>General de Educación.</w:t>
            </w:r>
          </w:p>
          <w:p w14:paraId="508DFB20" w14:textId="77777777" w:rsidR="007F2000" w:rsidRDefault="007F2000" w:rsidP="007F2000">
            <w:pPr>
              <w:pStyle w:val="Prrafodelista"/>
              <w:ind w:left="313"/>
              <w:jc w:val="both"/>
            </w:pPr>
          </w:p>
          <w:p w14:paraId="71E7E818" w14:textId="77777777" w:rsidR="007F2000" w:rsidRDefault="007F2000" w:rsidP="007F2000">
            <w:pPr>
              <w:pStyle w:val="Prrafodelista"/>
              <w:ind w:left="313"/>
              <w:jc w:val="both"/>
            </w:pPr>
            <w:r w:rsidRPr="007F2000">
              <w:rPr>
                <w:b/>
              </w:rPr>
              <w:t>iv. PRONOEI.-</w:t>
            </w:r>
            <w:r>
              <w:t xml:space="preserve"> Programa No Escolarizado de Educación Inicial que se brinda a través de servicios de Educación Inicial a las familias o adultos cuidadores con sus niños y niñas de cero (0) a dos (2) años de edad que viven en zonas urbanas o rurales; y a las niñas y niños de tres (3) a cinco (5) años de edad y sus familias, que viven en zona rural de baja o alta dispersión donde no existe oferta educativa y se requiere una atención educativa flexible por las características sociales, culturales, económicas y/o migraciones temporales o definitivas. </w:t>
            </w:r>
          </w:p>
          <w:p w14:paraId="68BFC904" w14:textId="77777777" w:rsidR="007F2000" w:rsidRDefault="007F2000" w:rsidP="007F2000">
            <w:pPr>
              <w:pStyle w:val="Prrafodelista"/>
              <w:ind w:left="313"/>
              <w:jc w:val="both"/>
            </w:pPr>
          </w:p>
          <w:p w14:paraId="27C529EA" w14:textId="46502CFA" w:rsidR="001148CA" w:rsidRDefault="001148CA" w:rsidP="007F2000">
            <w:pPr>
              <w:pStyle w:val="Prrafodelista"/>
              <w:ind w:left="313"/>
              <w:jc w:val="both"/>
            </w:pPr>
            <w:r>
              <w:t>Adicionalmente, se tiene el siguiente nivel de servicio:</w:t>
            </w:r>
          </w:p>
          <w:p w14:paraId="2E87D7E3" w14:textId="77777777" w:rsidR="001148CA" w:rsidRDefault="001148CA" w:rsidP="007F2000">
            <w:pPr>
              <w:pStyle w:val="Prrafodelista"/>
              <w:ind w:left="313"/>
              <w:jc w:val="both"/>
            </w:pPr>
          </w:p>
          <w:p w14:paraId="2191F704" w14:textId="42F67314" w:rsidR="002607DD" w:rsidRDefault="007F2000" w:rsidP="007F2000">
            <w:pPr>
              <w:pStyle w:val="Prrafodelista"/>
              <w:ind w:left="313"/>
              <w:jc w:val="both"/>
            </w:pPr>
            <w:r w:rsidRPr="007F2000">
              <w:rPr>
                <w:b/>
              </w:rPr>
              <w:t xml:space="preserve">v. Servicio educativo </w:t>
            </w:r>
            <w:proofErr w:type="gramStart"/>
            <w:r w:rsidRPr="007F2000">
              <w:rPr>
                <w:b/>
              </w:rPr>
              <w:t>hospitalario.</w:t>
            </w:r>
            <w:r w:rsidR="001148CA">
              <w:rPr>
                <w:b/>
              </w:rPr>
              <w:t>-</w:t>
            </w:r>
            <w:proofErr w:type="gramEnd"/>
            <w:r w:rsidRPr="007F2000">
              <w:rPr>
                <w:b/>
              </w:rPr>
              <w:t xml:space="preserve"> </w:t>
            </w:r>
          </w:p>
          <w:p w14:paraId="4A27C655" w14:textId="7E78704C" w:rsidR="008917B2" w:rsidRPr="001148CA" w:rsidRDefault="001148CA" w:rsidP="001148CA">
            <w:pPr>
              <w:pStyle w:val="NormalWeb"/>
              <w:ind w:left="306"/>
              <w:jc w:val="both"/>
              <w:rPr>
                <w:rFonts w:asciiTheme="minorHAnsi" w:eastAsiaTheme="minorHAnsi" w:hAnsiTheme="minorHAnsi" w:cstheme="minorBidi"/>
                <w:sz w:val="22"/>
                <w:szCs w:val="22"/>
                <w:lang w:eastAsia="en-US"/>
              </w:rPr>
            </w:pPr>
            <w:r w:rsidRPr="006C79CD">
              <w:rPr>
                <w:rFonts w:asciiTheme="minorHAnsi" w:eastAsiaTheme="minorHAnsi" w:hAnsiTheme="minorHAnsi" w:cstheme="minorBidi"/>
                <w:sz w:val="22"/>
                <w:szCs w:val="22"/>
                <w:lang w:eastAsia="en-US"/>
              </w:rPr>
              <w:lastRenderedPageBreak/>
              <w:t>El Servicio Educativo Hospitalario</w:t>
            </w:r>
            <w:r>
              <w:rPr>
                <w:rFonts w:asciiTheme="minorHAnsi" w:eastAsiaTheme="minorHAnsi" w:hAnsiTheme="minorHAnsi" w:cstheme="minorBidi"/>
                <w:sz w:val="22"/>
                <w:szCs w:val="22"/>
                <w:lang w:eastAsia="en-US"/>
              </w:rPr>
              <w:t xml:space="preserve"> (SEHO)</w:t>
            </w:r>
            <w:r w:rsidRPr="006C79CD">
              <w:rPr>
                <w:rFonts w:asciiTheme="minorHAnsi" w:eastAsiaTheme="minorHAnsi" w:hAnsiTheme="minorHAnsi" w:cstheme="minorBidi"/>
                <w:sz w:val="22"/>
                <w:szCs w:val="22"/>
                <w:lang w:eastAsia="en-US"/>
              </w:rPr>
              <w:t xml:space="preserve"> tiene como población objetivo a </w:t>
            </w:r>
            <w:r w:rsidRPr="00610496">
              <w:rPr>
                <w:rFonts w:asciiTheme="minorHAnsi" w:eastAsiaTheme="minorHAnsi" w:hAnsiTheme="minorHAnsi" w:cstheme="minorBidi"/>
                <w:i/>
                <w:iCs/>
                <w:sz w:val="22"/>
                <w:szCs w:val="22"/>
                <w:lang w:eastAsia="en-US"/>
              </w:rPr>
              <w:t>“los estudiantes de Educación Básica en situación de hospitalización prolongada, aquellos hospitalizados por estancias cortas y los que reciben tratamiento ambulatorio de períodos extensos, tanto en el hospital como en sus hogares, y que además se encuentran registrados en el sistema educativo peruano”</w:t>
            </w:r>
            <w:r>
              <w:rPr>
                <w:rFonts w:asciiTheme="minorHAnsi" w:eastAsiaTheme="minorHAnsi" w:hAnsiTheme="minorHAnsi" w:cstheme="minorBidi"/>
                <w:sz w:val="22"/>
                <w:szCs w:val="22"/>
                <w:lang w:eastAsia="en-US"/>
              </w:rPr>
              <w:t>.</w:t>
            </w:r>
            <w:r w:rsidRPr="006C79CD">
              <w:rPr>
                <w:rFonts w:asciiTheme="minorHAnsi" w:eastAsiaTheme="minorHAnsi" w:hAnsiTheme="minorHAnsi" w:cstheme="minorBidi"/>
                <w:sz w:val="22"/>
                <w:szCs w:val="22"/>
                <w:lang w:eastAsia="en-US"/>
              </w:rPr>
              <w:t xml:space="preserve"> (Norma </w:t>
            </w:r>
            <w:r>
              <w:rPr>
                <w:rFonts w:asciiTheme="minorHAnsi" w:eastAsiaTheme="minorHAnsi" w:hAnsiTheme="minorHAnsi" w:cstheme="minorBidi"/>
                <w:sz w:val="22"/>
                <w:szCs w:val="22"/>
                <w:lang w:eastAsia="en-US"/>
              </w:rPr>
              <w:t>5</w:t>
            </w:r>
            <w:r w:rsidRPr="006C79CD">
              <w:rPr>
                <w:rFonts w:asciiTheme="minorHAnsi" w:eastAsiaTheme="minorHAnsi" w:hAnsiTheme="minorHAnsi" w:cstheme="minorBidi"/>
                <w:sz w:val="22"/>
                <w:szCs w:val="22"/>
                <w:lang w:eastAsia="en-US"/>
              </w:rPr>
              <w:t>)</w:t>
            </w:r>
          </w:p>
          <w:p w14:paraId="62DD3AEE" w14:textId="075248A3" w:rsidR="00BD0FC1" w:rsidRPr="003B27F6" w:rsidRDefault="00BD0FC1" w:rsidP="001669A2">
            <w:pPr>
              <w:jc w:val="both"/>
            </w:pPr>
            <w:r w:rsidRPr="003B27F6">
              <w:t>En la presente sección s</w:t>
            </w:r>
            <w:r>
              <w:t xml:space="preserve">e han identificado todos los niveles de servicio, sin embargo, su implementación mediante inversiones dependerá de lo regulado en el marco del </w:t>
            </w:r>
            <w:r w:rsidRPr="003B27F6">
              <w:t>S</w:t>
            </w:r>
            <w:r w:rsidR="00807D34">
              <w:t>NPMGI</w:t>
            </w:r>
            <w:r>
              <w:t>.</w:t>
            </w:r>
          </w:p>
          <w:p w14:paraId="67E837BB" w14:textId="77777777" w:rsidR="00E602AA" w:rsidRPr="007F2000" w:rsidRDefault="00E602AA" w:rsidP="007F2000">
            <w:pPr>
              <w:pStyle w:val="Prrafodelista"/>
              <w:autoSpaceDE w:val="0"/>
              <w:autoSpaceDN w:val="0"/>
              <w:adjustRightInd w:val="0"/>
              <w:jc w:val="both"/>
              <w:rPr>
                <w:sz w:val="16"/>
              </w:rPr>
            </w:pPr>
          </w:p>
          <w:p w14:paraId="2C70D392" w14:textId="2202D086" w:rsidR="00002FFB" w:rsidRPr="007F2000" w:rsidRDefault="00F95B43" w:rsidP="00190BF5">
            <w:pPr>
              <w:rPr>
                <w:b/>
              </w:rPr>
            </w:pPr>
            <w:r w:rsidRPr="007F2000">
              <w:rPr>
                <w:b/>
              </w:rPr>
              <w:t xml:space="preserve">Norma </w:t>
            </w:r>
            <w:r w:rsidR="00B72BD7" w:rsidRPr="007F2000">
              <w:rPr>
                <w:b/>
              </w:rPr>
              <w:t>Legal</w:t>
            </w:r>
            <w:r w:rsidRPr="007F2000">
              <w:rPr>
                <w:b/>
              </w:rPr>
              <w:t>:</w:t>
            </w:r>
          </w:p>
          <w:p w14:paraId="7F715D01" w14:textId="77777777" w:rsidR="00886B02" w:rsidRPr="007F2000" w:rsidRDefault="00886B02" w:rsidP="002B6CB0">
            <w:pPr>
              <w:pStyle w:val="Prrafodelista"/>
              <w:ind w:left="313"/>
              <w:rPr>
                <w:b/>
              </w:rPr>
            </w:pPr>
          </w:p>
          <w:p w14:paraId="5F59D535" w14:textId="55E138A4" w:rsidR="007F2000" w:rsidRPr="007F2000" w:rsidRDefault="007F2000" w:rsidP="00E156BD">
            <w:pPr>
              <w:ind w:left="708"/>
              <w:jc w:val="both"/>
            </w:pPr>
            <w:r w:rsidRPr="00C27BAE">
              <w:t>(</w:t>
            </w:r>
            <w:r w:rsidR="003C7A5F" w:rsidRPr="00C27BAE">
              <w:t xml:space="preserve">Norma </w:t>
            </w:r>
            <w:r w:rsidRPr="00C27BAE">
              <w:t xml:space="preserve">3) Artículo 54 del </w:t>
            </w:r>
            <w:r w:rsidR="002607DD">
              <w:t xml:space="preserve">Reglamento de la Ley N° 28044, Ley general de educación, aprobado por Decreto Supremo N° </w:t>
            </w:r>
            <w:r w:rsidR="002607DD">
              <w:rPr>
                <w:rStyle w:val="decretossupremos"/>
                <w:rFonts w:ascii="Arial" w:eastAsia="Times New Roman" w:hAnsi="Arial" w:cs="Arial"/>
                <w:sz w:val="20"/>
                <w:szCs w:val="20"/>
              </w:rPr>
              <w:t>011-2012-ED</w:t>
            </w:r>
            <w:r w:rsidR="002607DD" w:rsidRPr="00C27BAE">
              <w:t xml:space="preserve"> </w:t>
            </w:r>
            <w:r w:rsidR="002607DD">
              <w:t>y sus modificatorias.</w:t>
            </w:r>
          </w:p>
          <w:p w14:paraId="14552FB1" w14:textId="0053990C" w:rsidR="007F2000" w:rsidRDefault="007F2000" w:rsidP="00197F7E">
            <w:pPr>
              <w:ind w:left="708"/>
              <w:rPr>
                <w:lang w:val="en-US"/>
              </w:rPr>
            </w:pPr>
            <w:r w:rsidRPr="007F2000">
              <w:rPr>
                <w:lang w:val="en-US"/>
              </w:rPr>
              <w:t xml:space="preserve">Link: </w:t>
            </w:r>
            <w:hyperlink r:id="rId10" w:history="1">
              <w:r w:rsidR="003057AE" w:rsidRPr="002563A5">
                <w:rPr>
                  <w:rStyle w:val="Hipervnculo"/>
                  <w:lang w:val="en-US"/>
                </w:rPr>
                <w:t>https://www.gob.pe/institucion/minedu/normas-legales/118256-0011-2012-ed</w:t>
              </w:r>
            </w:hyperlink>
          </w:p>
          <w:p w14:paraId="2313602F" w14:textId="77777777" w:rsidR="007F2000" w:rsidRPr="007F2000" w:rsidRDefault="007F2000" w:rsidP="00197F7E">
            <w:pPr>
              <w:ind w:left="708"/>
              <w:rPr>
                <w:lang w:val="en-US"/>
              </w:rPr>
            </w:pPr>
          </w:p>
          <w:p w14:paraId="395DBE78" w14:textId="60DFC9E3" w:rsidR="007F2000" w:rsidRPr="007F2000" w:rsidRDefault="007F2000" w:rsidP="00E156BD">
            <w:pPr>
              <w:ind w:left="708"/>
              <w:jc w:val="both"/>
            </w:pPr>
            <w:r w:rsidRPr="00C27BAE">
              <w:t>(</w:t>
            </w:r>
            <w:r w:rsidR="003C7A5F" w:rsidRPr="00C27BAE">
              <w:t xml:space="preserve">Norma </w:t>
            </w:r>
            <w:r w:rsidRPr="00C27BAE">
              <w:t>4) Norma</w:t>
            </w:r>
            <w:r w:rsidRPr="007F2000">
              <w:t xml:space="preserve"> Técnica “Normas para la planificación, creación, implementación, funcionamiento, evaluación, renovación y cierre de los Programas No Escolarizados de Educación Inicial - PRONOEI” aprobad</w:t>
            </w:r>
            <w:r w:rsidR="00E03C97">
              <w:t>a</w:t>
            </w:r>
            <w:r w:rsidRPr="007F2000">
              <w:t xml:space="preserve"> con Resolución Viceministerial N° 036-2015-MINEDU, de fecha 13 de julio de 2015.</w:t>
            </w:r>
          </w:p>
          <w:p w14:paraId="5C60E1CD" w14:textId="3976E0F2" w:rsidR="007F2000" w:rsidRDefault="007F2000" w:rsidP="00197F7E">
            <w:pPr>
              <w:ind w:left="708"/>
              <w:rPr>
                <w:rStyle w:val="Hipervnculo"/>
                <w:lang w:val="en-US"/>
              </w:rPr>
            </w:pPr>
            <w:r w:rsidRPr="007F2000">
              <w:rPr>
                <w:lang w:val="en-US"/>
              </w:rPr>
              <w:t xml:space="preserve">Link: </w:t>
            </w:r>
            <w:hyperlink r:id="rId11" w:history="1">
              <w:r w:rsidR="00197F7E" w:rsidRPr="00472B42">
                <w:rPr>
                  <w:rStyle w:val="Hipervnculo"/>
                  <w:lang w:val="en-US"/>
                </w:rPr>
                <w:t>https://www.gob.pe/institucion/minedu/normas-legales/171283-036-2015-minedu</w:t>
              </w:r>
            </w:hyperlink>
          </w:p>
          <w:p w14:paraId="2D79A400" w14:textId="77777777" w:rsidR="001148CA" w:rsidRDefault="001148CA" w:rsidP="00197F7E">
            <w:pPr>
              <w:ind w:left="708"/>
              <w:rPr>
                <w:lang w:val="en-US"/>
              </w:rPr>
            </w:pPr>
          </w:p>
          <w:p w14:paraId="7BFC41A0" w14:textId="20309AB7" w:rsidR="001148CA" w:rsidRPr="00610496" w:rsidRDefault="001148CA" w:rsidP="001148CA">
            <w:pPr>
              <w:ind w:left="731"/>
              <w:rPr>
                <w:rFonts w:cs="StagSans-Medium"/>
                <w:color w:val="231F20"/>
              </w:rPr>
            </w:pPr>
            <w:r w:rsidRPr="00610496">
              <w:rPr>
                <w:rFonts w:cs="StagSans-Medium"/>
                <w:color w:val="231F20"/>
              </w:rPr>
              <w:t xml:space="preserve">(Norma </w:t>
            </w:r>
            <w:r>
              <w:rPr>
                <w:rFonts w:cs="StagSans-Medium"/>
                <w:color w:val="231F20"/>
              </w:rPr>
              <w:t>5</w:t>
            </w:r>
            <w:r w:rsidRPr="00610496">
              <w:rPr>
                <w:rFonts w:cs="StagSans-Medium"/>
                <w:color w:val="231F20"/>
              </w:rPr>
              <w:t xml:space="preserve">) Artículo 3 de la Ley </w:t>
            </w:r>
            <w:proofErr w:type="spellStart"/>
            <w:r w:rsidRPr="00610496">
              <w:rPr>
                <w:rFonts w:cs="StagSans-Medium"/>
                <w:color w:val="231F20"/>
              </w:rPr>
              <w:t>N°</w:t>
            </w:r>
            <w:proofErr w:type="spellEnd"/>
            <w:r w:rsidRPr="00610496">
              <w:rPr>
                <w:rFonts w:cs="StagSans-Medium"/>
                <w:color w:val="231F20"/>
              </w:rPr>
              <w:t xml:space="preserve"> 30772, Ley que promueve la atención educativa integral de los estudiantes en condiciones de hospitalización o con tratamiento ambulatorio de la educación básica</w:t>
            </w:r>
          </w:p>
          <w:p w14:paraId="176E9409" w14:textId="77777777" w:rsidR="001148CA" w:rsidRPr="00610496" w:rsidRDefault="001148CA" w:rsidP="001148CA">
            <w:pPr>
              <w:ind w:left="731"/>
              <w:rPr>
                <w:rFonts w:cs="StagSans-Medium"/>
                <w:color w:val="231F20"/>
              </w:rPr>
            </w:pPr>
            <w:r w:rsidRPr="00610496">
              <w:rPr>
                <w:rFonts w:cs="StagSans-Medium"/>
                <w:color w:val="231F20"/>
              </w:rPr>
              <w:t xml:space="preserve">Link: </w:t>
            </w:r>
            <w:hyperlink r:id="rId12" w:history="1">
              <w:r w:rsidRPr="00D36319">
                <w:rPr>
                  <w:rStyle w:val="Hipervnculo"/>
                  <w:rFonts w:cs="StagSans-Medium"/>
                </w:rPr>
                <w:t>https://busquedas.elperuano.pe/normaslegales/ley-que-promueve-la-atencion-educativa-integral-de-los-estud-ley-n-30772-1651169-1/</w:t>
              </w:r>
            </w:hyperlink>
            <w:r>
              <w:rPr>
                <w:rFonts w:cs="StagSans-Medium"/>
                <w:color w:val="231F20"/>
              </w:rPr>
              <w:t xml:space="preserve"> </w:t>
            </w:r>
          </w:p>
          <w:p w14:paraId="78C6D324" w14:textId="4A4DD6E7" w:rsidR="00E602AA" w:rsidRDefault="00E602AA" w:rsidP="00197F7E">
            <w:pPr>
              <w:ind w:left="708"/>
              <w:rPr>
                <w:lang w:val="en-US"/>
              </w:rPr>
            </w:pPr>
          </w:p>
          <w:p w14:paraId="214479A3" w14:textId="77777777" w:rsidR="005B4C21" w:rsidRPr="003B27F6" w:rsidRDefault="005B4C21" w:rsidP="00BD0FC1">
            <w:pPr>
              <w:rPr>
                <w:sz w:val="12"/>
              </w:rPr>
            </w:pPr>
          </w:p>
        </w:tc>
      </w:tr>
      <w:tr w:rsidR="00057AB6" w:rsidRPr="007F2000" w14:paraId="08632259" w14:textId="77777777">
        <w:trPr>
          <w:trHeight w:val="260"/>
        </w:trPr>
        <w:tc>
          <w:tcPr>
            <w:tcW w:w="8529" w:type="dxa"/>
            <w:tcBorders>
              <w:left w:val="single" w:sz="4" w:space="0" w:color="auto"/>
            </w:tcBorders>
            <w:shd w:val="clear" w:color="auto" w:fill="000000" w:themeFill="text1"/>
          </w:tcPr>
          <w:p w14:paraId="7155EC9C" w14:textId="77777777" w:rsidR="00002FFB" w:rsidRPr="007F2000" w:rsidRDefault="00F95B43" w:rsidP="00057AB6">
            <w:r w:rsidRPr="007F2000">
              <w:rPr>
                <w:b/>
              </w:rPr>
              <w:lastRenderedPageBreak/>
              <w:t>Estándares de Calidad</w:t>
            </w:r>
            <w:r w:rsidRPr="007F2000">
              <w:rPr>
                <w:rStyle w:val="Refdenotaalpie"/>
                <w:b/>
              </w:rPr>
              <w:footnoteReference w:id="2"/>
            </w:r>
          </w:p>
        </w:tc>
      </w:tr>
      <w:tr w:rsidR="00002FFB" w:rsidRPr="005B4C21" w14:paraId="094E85F5" w14:textId="77777777" w:rsidTr="001669A2">
        <w:trPr>
          <w:trHeight w:val="260"/>
        </w:trPr>
        <w:tc>
          <w:tcPr>
            <w:tcW w:w="8529" w:type="dxa"/>
            <w:tcBorders>
              <w:left w:val="single" w:sz="4" w:space="0" w:color="auto"/>
            </w:tcBorders>
          </w:tcPr>
          <w:p w14:paraId="5E29659B" w14:textId="239C8E58" w:rsidR="00002FFB" w:rsidRPr="007F2000" w:rsidRDefault="00F95B43" w:rsidP="00B72BD7">
            <w:r w:rsidRPr="007F2000">
              <w:rPr>
                <w:b/>
              </w:rPr>
              <w:t>Descripción</w:t>
            </w:r>
            <w:r w:rsidRPr="007F2000">
              <w:t>:</w:t>
            </w:r>
          </w:p>
          <w:p w14:paraId="752BCAC4" w14:textId="77777777" w:rsidR="00886B02" w:rsidRPr="007F2000" w:rsidRDefault="00886B02" w:rsidP="002B6CB0"/>
          <w:p w14:paraId="1B5FE780" w14:textId="4B9E5AB0" w:rsidR="00197F7E" w:rsidRDefault="00197F7E" w:rsidP="00197F7E">
            <w:r>
              <w:t xml:space="preserve">Se identificaron los siguientes estándares de calidad en el marco del </w:t>
            </w:r>
            <w:r w:rsidR="00807D34">
              <w:t>SNPMGI</w:t>
            </w:r>
            <w:r>
              <w:t>:</w:t>
            </w:r>
          </w:p>
          <w:p w14:paraId="4940CC87" w14:textId="77777777" w:rsidR="00197F7E" w:rsidRDefault="00197F7E" w:rsidP="00197F7E"/>
          <w:p w14:paraId="7056643E" w14:textId="0D7B4A53" w:rsidR="00807D34" w:rsidRDefault="00807D34" w:rsidP="00807D34">
            <w:pPr>
              <w:rPr>
                <w:b/>
              </w:rPr>
            </w:pPr>
            <w:r>
              <w:rPr>
                <w:b/>
              </w:rPr>
              <w:t>i</w:t>
            </w:r>
            <w:r w:rsidRPr="00197F7E">
              <w:rPr>
                <w:b/>
              </w:rPr>
              <w:t xml:space="preserve">. </w:t>
            </w:r>
            <w:r w:rsidRPr="00522A99">
              <w:rPr>
                <w:b/>
              </w:rPr>
              <w:t xml:space="preserve">Reglamento Nacional de Edificaciones (Norma </w:t>
            </w:r>
            <w:r w:rsidR="00C55507">
              <w:rPr>
                <w:b/>
              </w:rPr>
              <w:t>6</w:t>
            </w:r>
            <w:r w:rsidRPr="00522A99">
              <w:rPr>
                <w:b/>
              </w:rPr>
              <w:t>)</w:t>
            </w:r>
          </w:p>
          <w:p w14:paraId="3D5095CF" w14:textId="77777777" w:rsidR="00807D34" w:rsidRDefault="00807D34" w:rsidP="00807D34">
            <w:pPr>
              <w:rPr>
                <w:b/>
              </w:rPr>
            </w:pPr>
          </w:p>
          <w:p w14:paraId="579006A1" w14:textId="77777777" w:rsidR="00807D34" w:rsidRDefault="00807D34" w:rsidP="00807D34">
            <w:pPr>
              <w:pStyle w:val="Prrafodelista"/>
              <w:jc w:val="both"/>
            </w:pPr>
            <w:r w:rsidRPr="001669A2">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actualizará periódicamente de manera integral o parcial, conforme a los avances tecnológicos y la demanda de la sociedad.</w:t>
            </w:r>
          </w:p>
          <w:p w14:paraId="1B05ABA3" w14:textId="77777777" w:rsidR="007A514E" w:rsidRDefault="007A514E" w:rsidP="00807D34">
            <w:pPr>
              <w:pStyle w:val="Prrafodelista"/>
              <w:jc w:val="both"/>
            </w:pPr>
          </w:p>
          <w:p w14:paraId="3527C2EB" w14:textId="1768DC86" w:rsidR="00C345C1" w:rsidRPr="00197F7E" w:rsidRDefault="00C345C1" w:rsidP="00C345C1">
            <w:pPr>
              <w:rPr>
                <w:b/>
              </w:rPr>
            </w:pPr>
            <w:proofErr w:type="spellStart"/>
            <w:r w:rsidRPr="00197F7E">
              <w:rPr>
                <w:b/>
              </w:rPr>
              <w:t>ii</w:t>
            </w:r>
            <w:proofErr w:type="spellEnd"/>
            <w:r w:rsidRPr="00197F7E">
              <w:rPr>
                <w:b/>
              </w:rPr>
              <w:t xml:space="preserve">. Norma Técnica “Criterios Generales de Diseño de Infraestructura </w:t>
            </w:r>
            <w:r w:rsidRPr="00C27BAE">
              <w:rPr>
                <w:b/>
              </w:rPr>
              <w:t xml:space="preserve">Educativa” (Norma </w:t>
            </w:r>
            <w:r w:rsidR="00C55507">
              <w:rPr>
                <w:b/>
              </w:rPr>
              <w:t>7</w:t>
            </w:r>
            <w:r w:rsidRPr="00C27BAE">
              <w:rPr>
                <w:b/>
              </w:rPr>
              <w:t>), que establece</w:t>
            </w:r>
            <w:r w:rsidR="00C55507">
              <w:rPr>
                <w:b/>
              </w:rPr>
              <w:t>,</w:t>
            </w:r>
            <w:r w:rsidRPr="00C27BAE">
              <w:rPr>
                <w:b/>
              </w:rPr>
              <w:t xml:space="preserve"> </w:t>
            </w:r>
            <w:r>
              <w:rPr>
                <w:b/>
              </w:rPr>
              <w:t xml:space="preserve">entre otros, </w:t>
            </w:r>
            <w:r w:rsidRPr="00C27BAE">
              <w:rPr>
                <w:b/>
              </w:rPr>
              <w:t>lo siguiente:</w:t>
            </w:r>
          </w:p>
          <w:p w14:paraId="516D7687" w14:textId="77777777" w:rsidR="00C345C1" w:rsidRDefault="00C345C1" w:rsidP="00C345C1"/>
          <w:p w14:paraId="6F690BFB" w14:textId="77777777" w:rsidR="00C345C1" w:rsidRDefault="00C345C1" w:rsidP="00C345C1">
            <w:pPr>
              <w:pStyle w:val="Prrafodelista"/>
              <w:numPr>
                <w:ilvl w:val="0"/>
                <w:numId w:val="28"/>
              </w:numPr>
            </w:pPr>
            <w:r>
              <w:t>Principios generales de diseño.</w:t>
            </w:r>
          </w:p>
          <w:p w14:paraId="2BFD8E73" w14:textId="77777777" w:rsidR="00C345C1" w:rsidRDefault="00C345C1" w:rsidP="00C345C1">
            <w:pPr>
              <w:pStyle w:val="Prrafodelista"/>
              <w:numPr>
                <w:ilvl w:val="0"/>
                <w:numId w:val="28"/>
              </w:numPr>
            </w:pPr>
            <w:r>
              <w:lastRenderedPageBreak/>
              <w:t>Criterios de análisis, diagnóstico e identificación de los terrenos.</w:t>
            </w:r>
          </w:p>
          <w:p w14:paraId="394EABC4" w14:textId="77777777" w:rsidR="00C345C1" w:rsidRDefault="00C345C1" w:rsidP="00C345C1">
            <w:pPr>
              <w:pStyle w:val="Prrafodelista"/>
              <w:numPr>
                <w:ilvl w:val="0"/>
                <w:numId w:val="28"/>
              </w:numPr>
            </w:pPr>
            <w:r>
              <w:t>Criterios de diseño.</w:t>
            </w:r>
          </w:p>
          <w:p w14:paraId="1A205DD0" w14:textId="77777777" w:rsidR="00C345C1" w:rsidRDefault="00C345C1" w:rsidP="00C345C1">
            <w:pPr>
              <w:pStyle w:val="Prrafodelista"/>
              <w:numPr>
                <w:ilvl w:val="0"/>
                <w:numId w:val="28"/>
              </w:numPr>
            </w:pPr>
            <w:r>
              <w:t>Clasificación de ambientes.</w:t>
            </w:r>
          </w:p>
          <w:p w14:paraId="66BBC5B5" w14:textId="77777777" w:rsidR="00C345C1" w:rsidRDefault="00C345C1" w:rsidP="00C345C1">
            <w:pPr>
              <w:pStyle w:val="Prrafodelista"/>
              <w:numPr>
                <w:ilvl w:val="0"/>
                <w:numId w:val="28"/>
              </w:numPr>
            </w:pPr>
            <w:r>
              <w:t>Criterios para la definición del programa arquitectónico.</w:t>
            </w:r>
          </w:p>
          <w:p w14:paraId="4C9CA617" w14:textId="77777777" w:rsidR="00C345C1" w:rsidRDefault="00C345C1" w:rsidP="00C345C1">
            <w:pPr>
              <w:pStyle w:val="Prrafodelista"/>
              <w:numPr>
                <w:ilvl w:val="0"/>
                <w:numId w:val="28"/>
              </w:numPr>
            </w:pPr>
            <w:r>
              <w:t>Tipos de mantenimiento.</w:t>
            </w:r>
          </w:p>
          <w:p w14:paraId="4354635C" w14:textId="77777777" w:rsidR="00C345C1" w:rsidRPr="001669A2" w:rsidRDefault="00C345C1" w:rsidP="00807D34">
            <w:pPr>
              <w:pStyle w:val="Prrafodelista"/>
              <w:jc w:val="both"/>
            </w:pPr>
          </w:p>
          <w:p w14:paraId="55F32544" w14:textId="00526727" w:rsidR="00197F7E" w:rsidRPr="00197F7E" w:rsidRDefault="00197F7E" w:rsidP="00197F7E">
            <w:pPr>
              <w:rPr>
                <w:b/>
              </w:rPr>
            </w:pPr>
            <w:proofErr w:type="spellStart"/>
            <w:r w:rsidRPr="00197F7E">
              <w:rPr>
                <w:b/>
              </w:rPr>
              <w:t>i</w:t>
            </w:r>
            <w:r w:rsidR="00C55507">
              <w:rPr>
                <w:b/>
              </w:rPr>
              <w:t>ii</w:t>
            </w:r>
            <w:proofErr w:type="spellEnd"/>
            <w:r w:rsidRPr="00197F7E">
              <w:rPr>
                <w:b/>
              </w:rPr>
              <w:t xml:space="preserve">. Norma Técnica “Criterios de Diseño para Locales Educativos del Nivel de Educación </w:t>
            </w:r>
            <w:r w:rsidRPr="00C27BAE">
              <w:rPr>
                <w:b/>
              </w:rPr>
              <w:t xml:space="preserve">Inicial” (Norma </w:t>
            </w:r>
            <w:r w:rsidR="00C55507">
              <w:rPr>
                <w:b/>
              </w:rPr>
              <w:t>8</w:t>
            </w:r>
            <w:r w:rsidRPr="00C27BAE">
              <w:rPr>
                <w:b/>
              </w:rPr>
              <w:t>), establece</w:t>
            </w:r>
            <w:r w:rsidR="00C55507">
              <w:rPr>
                <w:b/>
              </w:rPr>
              <w:t>,</w:t>
            </w:r>
            <w:r w:rsidRPr="00C27BAE">
              <w:rPr>
                <w:b/>
              </w:rPr>
              <w:t xml:space="preserve"> </w:t>
            </w:r>
            <w:r w:rsidR="00807D34">
              <w:rPr>
                <w:b/>
              </w:rPr>
              <w:t xml:space="preserve">entre otros, </w:t>
            </w:r>
            <w:r w:rsidRPr="00C27BAE">
              <w:rPr>
                <w:b/>
              </w:rPr>
              <w:t>lo siguiente:</w:t>
            </w:r>
          </w:p>
          <w:p w14:paraId="6BE993D1" w14:textId="77777777" w:rsidR="00197F7E" w:rsidRDefault="00197F7E" w:rsidP="00197F7E"/>
          <w:p w14:paraId="7AD8AB43" w14:textId="3EB286E2" w:rsidR="00197F7E" w:rsidRDefault="00197F7E" w:rsidP="00197F7E">
            <w:pPr>
              <w:pStyle w:val="Prrafodelista"/>
              <w:numPr>
                <w:ilvl w:val="0"/>
                <w:numId w:val="29"/>
              </w:numPr>
            </w:pPr>
            <w:r>
              <w:t>Criterios para la selección de terrenos y delimitación del área de influencia.</w:t>
            </w:r>
          </w:p>
          <w:p w14:paraId="652F30BC" w14:textId="6D80684B" w:rsidR="00197F7E" w:rsidRDefault="00197F7E" w:rsidP="00197F7E">
            <w:pPr>
              <w:pStyle w:val="Prrafodelista"/>
              <w:numPr>
                <w:ilvl w:val="0"/>
                <w:numId w:val="29"/>
              </w:numPr>
            </w:pPr>
            <w:r>
              <w:t>Criterios específicos de diseño arquitectónico.</w:t>
            </w:r>
          </w:p>
          <w:p w14:paraId="5E6D7ED3" w14:textId="6B3D76F7" w:rsidR="00197F7E" w:rsidRDefault="00197F7E" w:rsidP="00197F7E">
            <w:pPr>
              <w:pStyle w:val="Prrafodelista"/>
              <w:numPr>
                <w:ilvl w:val="0"/>
                <w:numId w:val="29"/>
              </w:numPr>
            </w:pPr>
            <w:r>
              <w:t>Características de ambientes para Ciclo I (Cuna).</w:t>
            </w:r>
          </w:p>
          <w:p w14:paraId="29A75F63" w14:textId="06445E8A" w:rsidR="00197F7E" w:rsidRDefault="00197F7E" w:rsidP="00197F7E">
            <w:pPr>
              <w:pStyle w:val="Prrafodelista"/>
              <w:numPr>
                <w:ilvl w:val="0"/>
                <w:numId w:val="29"/>
              </w:numPr>
            </w:pPr>
            <w:r>
              <w:t>Características de ambientes para Ciclo II (Jardín).</w:t>
            </w:r>
          </w:p>
          <w:p w14:paraId="150320AD" w14:textId="738748C7" w:rsidR="00197F7E" w:rsidRDefault="00197F7E" w:rsidP="00197F7E">
            <w:pPr>
              <w:pStyle w:val="Prrafodelista"/>
              <w:numPr>
                <w:ilvl w:val="0"/>
                <w:numId w:val="29"/>
              </w:numPr>
            </w:pPr>
            <w:r>
              <w:t xml:space="preserve">Criterios para la definición del programa arquitectónico.  </w:t>
            </w:r>
          </w:p>
          <w:p w14:paraId="340939CE" w14:textId="77777777" w:rsidR="00197F7E" w:rsidRDefault="00197F7E" w:rsidP="00197F7E"/>
          <w:p w14:paraId="0BD47943" w14:textId="06D61C16" w:rsidR="00522A99" w:rsidRDefault="00522A99" w:rsidP="00522A99">
            <w:pPr>
              <w:rPr>
                <w:b/>
              </w:rPr>
            </w:pPr>
            <w:proofErr w:type="spellStart"/>
            <w:r>
              <w:rPr>
                <w:b/>
              </w:rPr>
              <w:t>iv</w:t>
            </w:r>
            <w:proofErr w:type="spellEnd"/>
            <w:r>
              <w:rPr>
                <w:b/>
              </w:rPr>
              <w:t xml:space="preserve">. </w:t>
            </w:r>
            <w:r w:rsidRPr="00522A99">
              <w:rPr>
                <w:b/>
              </w:rPr>
              <w:t xml:space="preserve">Criterios de Diseño para Ambientes de Servicios de Alimentación en los Locales Educativos de la Educación Básica (Norma </w:t>
            </w:r>
            <w:r w:rsidR="00C55507">
              <w:rPr>
                <w:b/>
              </w:rPr>
              <w:t>9</w:t>
            </w:r>
            <w:r w:rsidRPr="00522A99">
              <w:rPr>
                <w:b/>
              </w:rPr>
              <w:t>)</w:t>
            </w:r>
          </w:p>
          <w:p w14:paraId="4AF62309" w14:textId="77777777" w:rsidR="00522A99" w:rsidRDefault="00522A99" w:rsidP="00197F7E"/>
          <w:p w14:paraId="23A312D0" w14:textId="6C829FA8" w:rsidR="001669A2" w:rsidRDefault="001669A2" w:rsidP="001669A2">
            <w:pPr>
              <w:ind w:left="738"/>
              <w:jc w:val="both"/>
            </w:pPr>
            <w:r>
              <w:t>Establecer los criterios para el diseño de ambientes destinados al almacenamiento, preparación, expendio y consumo de alimentos en locales educativos de Educación Básica, a fin de asegurar condiciones de funcionalidad, habitabilidad, seguridad, salubridad y sostenibilidad.</w:t>
            </w:r>
          </w:p>
          <w:p w14:paraId="56CA22BA" w14:textId="77777777" w:rsidR="001669A2" w:rsidRDefault="001669A2" w:rsidP="00197F7E"/>
          <w:p w14:paraId="7AA2EABF" w14:textId="1DD75D08" w:rsidR="00522A99" w:rsidRDefault="00522A99" w:rsidP="00522A99">
            <w:pPr>
              <w:jc w:val="both"/>
            </w:pPr>
            <w:r>
              <w:t>Cabe mencionar que</w:t>
            </w:r>
            <w:r w:rsidR="00C345C1">
              <w:t>,</w:t>
            </w:r>
            <w:r>
              <w:t xml:space="preserve"> si bien existen estándares de calidad para los PRONOEI y el Modelo de Servicio Educativo Hospitalario, </w:t>
            </w:r>
            <w:r w:rsidR="001669A2">
              <w:t xml:space="preserve">a la fecha, </w:t>
            </w:r>
            <w:r>
              <w:t xml:space="preserve">por las características de dichos servicios estos no se intervienen en el marco del </w:t>
            </w:r>
            <w:r w:rsidRPr="00522A99">
              <w:t>S</w:t>
            </w:r>
            <w:r w:rsidR="00807D34">
              <w:t>NPMGI</w:t>
            </w:r>
            <w:r>
              <w:t>.</w:t>
            </w:r>
          </w:p>
          <w:p w14:paraId="72F91780" w14:textId="77777777" w:rsidR="003C7A5F" w:rsidRPr="007F2000" w:rsidRDefault="003C7A5F" w:rsidP="003C7A5F"/>
          <w:p w14:paraId="133C1640" w14:textId="7BCE96EB" w:rsidR="00002FFB" w:rsidRPr="007F2000" w:rsidRDefault="00B72BD7" w:rsidP="00B72BD7">
            <w:r w:rsidRPr="007F2000">
              <w:rPr>
                <w:b/>
              </w:rPr>
              <w:t>Norma</w:t>
            </w:r>
            <w:r w:rsidR="00807D34">
              <w:rPr>
                <w:b/>
              </w:rPr>
              <w:t>s</w:t>
            </w:r>
            <w:r w:rsidRPr="007F2000">
              <w:rPr>
                <w:b/>
              </w:rPr>
              <w:t xml:space="preserve"> Legal</w:t>
            </w:r>
            <w:r w:rsidR="00807D34">
              <w:rPr>
                <w:b/>
              </w:rPr>
              <w:t>es</w:t>
            </w:r>
            <w:r w:rsidR="00F95B43" w:rsidRPr="007F2000">
              <w:rPr>
                <w:b/>
              </w:rPr>
              <w:t>:</w:t>
            </w:r>
          </w:p>
          <w:p w14:paraId="032E5AB6" w14:textId="77777777" w:rsidR="00002FFB" w:rsidRPr="007F2000" w:rsidRDefault="00002FFB" w:rsidP="00057AB6">
            <w:pPr>
              <w:pStyle w:val="Prrafodelista"/>
              <w:ind w:left="313"/>
              <w:rPr>
                <w:sz w:val="18"/>
              </w:rPr>
            </w:pPr>
          </w:p>
          <w:p w14:paraId="43CDFF44" w14:textId="74A0FE19" w:rsidR="00807D34" w:rsidRDefault="00807D34" w:rsidP="00807D34">
            <w:pPr>
              <w:ind w:left="708"/>
              <w:jc w:val="both"/>
            </w:pPr>
            <w:r>
              <w:t xml:space="preserve">(Norma </w:t>
            </w:r>
            <w:r w:rsidR="00C55507">
              <w:t>6)</w:t>
            </w:r>
            <w:r>
              <w:t xml:space="preserve"> Normas Técnicas del Reglamento Nacional de Edificaciones – RNE, aprobadas con Decreto Supremo N° 011-2006-VIVIENDA, de fecha 05 de mayo del 2006, y sus actualizaciones.</w:t>
            </w:r>
          </w:p>
          <w:p w14:paraId="50C69BEF" w14:textId="77777777" w:rsidR="00807D34" w:rsidRDefault="00807D34" w:rsidP="00807D34">
            <w:pPr>
              <w:ind w:left="708"/>
              <w:jc w:val="both"/>
              <w:rPr>
                <w:lang w:val="en-US"/>
              </w:rPr>
            </w:pPr>
            <w:r w:rsidRPr="00197F7E">
              <w:rPr>
                <w:lang w:val="en-US"/>
              </w:rPr>
              <w:t xml:space="preserve">Link: </w:t>
            </w:r>
            <w:hyperlink r:id="rId13" w:history="1">
              <w:r w:rsidRPr="00472B42">
                <w:rPr>
                  <w:rStyle w:val="Hipervnculo"/>
                  <w:lang w:val="en-US"/>
                </w:rPr>
                <w:t>http://www.construccion.org/normas/rne2012/rne2006.htm</w:t>
              </w:r>
            </w:hyperlink>
          </w:p>
          <w:p w14:paraId="09478945" w14:textId="77777777" w:rsidR="00C55507" w:rsidRDefault="00C55507" w:rsidP="00C55507">
            <w:pPr>
              <w:ind w:left="708"/>
              <w:jc w:val="both"/>
            </w:pPr>
          </w:p>
          <w:p w14:paraId="7ABC7FCC" w14:textId="3E8D403E" w:rsidR="00C55507" w:rsidRDefault="00C55507" w:rsidP="00C55507">
            <w:pPr>
              <w:ind w:left="708"/>
              <w:jc w:val="both"/>
            </w:pPr>
            <w:r w:rsidRPr="00C27BAE">
              <w:t xml:space="preserve">(Norma </w:t>
            </w:r>
            <w:r>
              <w:t>7</w:t>
            </w:r>
            <w:r w:rsidRPr="00C27BAE">
              <w:t>) Norma</w:t>
            </w:r>
            <w:r>
              <w:t xml:space="preserve"> Técnica “Criterios Generales de Diseño de Infraestructura Educativa”, aprobada con la </w:t>
            </w:r>
            <w:r>
              <w:t>Resolución Viceministerial</w:t>
            </w:r>
            <w:r>
              <w:t xml:space="preserve"> </w:t>
            </w:r>
            <w:proofErr w:type="spellStart"/>
            <w:r>
              <w:t>N°</w:t>
            </w:r>
            <w:proofErr w:type="spellEnd"/>
            <w:r>
              <w:t xml:space="preserve"> 010-2022-MINEDU, de fecha 25 de enero del 2022. </w:t>
            </w:r>
          </w:p>
          <w:p w14:paraId="2C7FB84F" w14:textId="77777777" w:rsidR="00C55507" w:rsidRDefault="00C55507" w:rsidP="00C55507">
            <w:pPr>
              <w:ind w:left="708"/>
              <w:jc w:val="both"/>
              <w:rPr>
                <w:lang w:val="en-US"/>
              </w:rPr>
            </w:pPr>
            <w:r w:rsidRPr="00197F7E">
              <w:rPr>
                <w:lang w:val="en-US"/>
              </w:rPr>
              <w:t xml:space="preserve">Link: </w:t>
            </w:r>
            <w:r w:rsidRPr="005C2230">
              <w:rPr>
                <w:rStyle w:val="Hipervnculo"/>
                <w:lang w:val="en-US"/>
              </w:rPr>
              <w:t>http://www.minedu.gob.pe/p/pdf/rvm-n-010-2022-minedu.pdf</w:t>
            </w:r>
          </w:p>
          <w:p w14:paraId="670439B4" w14:textId="3ACE8AA3" w:rsidR="00807D34" w:rsidRDefault="00807D34" w:rsidP="00807D34">
            <w:pPr>
              <w:ind w:left="708"/>
              <w:jc w:val="both"/>
            </w:pPr>
          </w:p>
          <w:p w14:paraId="46082543" w14:textId="6179CBE3" w:rsidR="00197F7E" w:rsidRDefault="00197F7E" w:rsidP="00807D34">
            <w:pPr>
              <w:ind w:left="708"/>
              <w:jc w:val="both"/>
            </w:pPr>
            <w:r w:rsidRPr="00C27BAE">
              <w:t>(</w:t>
            </w:r>
            <w:r w:rsidR="003C7A5F" w:rsidRPr="00C27BAE">
              <w:t xml:space="preserve">Norma </w:t>
            </w:r>
            <w:r w:rsidR="00C55507">
              <w:t>8</w:t>
            </w:r>
            <w:r w:rsidRPr="00C27BAE">
              <w:t>) Norma Técnica “Criterios de Diseño para Locales Educativos del Nivel de Educación Inicial”,</w:t>
            </w:r>
            <w:r>
              <w:t xml:space="preserve"> aprobada con la Resolución Viceministerial N° 104-2019-MINEDU, de fecha 30 de abril del 2019.  </w:t>
            </w:r>
          </w:p>
          <w:p w14:paraId="418A5AA6" w14:textId="167E5246" w:rsidR="00197F7E" w:rsidRDefault="00197F7E" w:rsidP="00197F7E">
            <w:pPr>
              <w:ind w:left="708"/>
              <w:jc w:val="both"/>
              <w:rPr>
                <w:lang w:val="en-US"/>
              </w:rPr>
            </w:pPr>
            <w:r w:rsidRPr="00197F7E">
              <w:rPr>
                <w:lang w:val="en-US"/>
              </w:rPr>
              <w:t xml:space="preserve">Link: </w:t>
            </w:r>
            <w:hyperlink r:id="rId14" w:history="1">
              <w:r w:rsidRPr="00472B42">
                <w:rPr>
                  <w:rStyle w:val="Hipervnculo"/>
                  <w:lang w:val="en-US"/>
                </w:rPr>
                <w:t>https://www.gob.pe/institucion/minedu/normas-legales/274899-104-2019-minedu</w:t>
              </w:r>
            </w:hyperlink>
          </w:p>
          <w:p w14:paraId="30D92E16" w14:textId="77777777" w:rsidR="00197F7E" w:rsidRPr="00197F7E" w:rsidRDefault="00197F7E" w:rsidP="00197F7E">
            <w:pPr>
              <w:ind w:left="708"/>
              <w:jc w:val="both"/>
              <w:rPr>
                <w:lang w:val="en-US"/>
              </w:rPr>
            </w:pPr>
          </w:p>
          <w:p w14:paraId="3E822DF8" w14:textId="266BEAEE" w:rsidR="00162A89" w:rsidRPr="00C27BAE" w:rsidRDefault="00162A89" w:rsidP="00197F7E">
            <w:pPr>
              <w:ind w:left="708"/>
              <w:jc w:val="both"/>
              <w:rPr>
                <w:rStyle w:val="Hipervnculo"/>
                <w:color w:val="000000" w:themeColor="text1"/>
                <w:u w:val="none"/>
              </w:rPr>
            </w:pPr>
            <w:r w:rsidRPr="00C27BAE">
              <w:rPr>
                <w:rStyle w:val="Hipervnculo"/>
                <w:color w:val="000000" w:themeColor="text1"/>
                <w:u w:val="none"/>
              </w:rPr>
              <w:t>(</w:t>
            </w:r>
            <w:r w:rsidR="003C7A5F" w:rsidRPr="00C27BAE">
              <w:rPr>
                <w:color w:val="000000" w:themeColor="text1"/>
              </w:rPr>
              <w:t xml:space="preserve">Norma </w:t>
            </w:r>
            <w:r w:rsidR="00C55507">
              <w:rPr>
                <w:rStyle w:val="Hipervnculo"/>
                <w:color w:val="000000" w:themeColor="text1"/>
                <w:u w:val="none"/>
              </w:rPr>
              <w:t>9</w:t>
            </w:r>
            <w:r w:rsidRPr="00C27BAE">
              <w:rPr>
                <w:rStyle w:val="Hipervnculo"/>
                <w:color w:val="000000" w:themeColor="text1"/>
                <w:u w:val="none"/>
              </w:rPr>
              <w:t>) Norma Técnica “Criterios de Diseño para Ambientes de Servicios de Alimentación en los Locales Educativos de la Educación Básica</w:t>
            </w:r>
            <w:r w:rsidR="00422E98" w:rsidRPr="00C27BAE">
              <w:rPr>
                <w:rStyle w:val="Hipervnculo"/>
                <w:color w:val="000000" w:themeColor="text1"/>
                <w:u w:val="none"/>
              </w:rPr>
              <w:t>”</w:t>
            </w:r>
            <w:r w:rsidRPr="00C27BAE">
              <w:rPr>
                <w:rStyle w:val="Hipervnculo"/>
                <w:color w:val="000000" w:themeColor="text1"/>
                <w:u w:val="none"/>
              </w:rPr>
              <w:t xml:space="preserve">, aprobada con Resolución Viceministerial </w:t>
            </w:r>
            <w:proofErr w:type="spellStart"/>
            <w:r w:rsidRPr="00C27BAE">
              <w:rPr>
                <w:rStyle w:val="Hipervnculo"/>
                <w:color w:val="000000" w:themeColor="text1"/>
                <w:u w:val="none"/>
              </w:rPr>
              <w:t>N°</w:t>
            </w:r>
            <w:proofErr w:type="spellEnd"/>
            <w:r w:rsidRPr="00C27BAE">
              <w:rPr>
                <w:rStyle w:val="Hipervnculo"/>
                <w:color w:val="000000" w:themeColor="text1"/>
                <w:u w:val="none"/>
              </w:rPr>
              <w:t xml:space="preserve"> 054-2021-MINEDU</w:t>
            </w:r>
            <w:r w:rsidR="00C345C1">
              <w:rPr>
                <w:rStyle w:val="Hipervnculo"/>
                <w:color w:val="000000" w:themeColor="text1"/>
                <w:u w:val="none"/>
              </w:rPr>
              <w:t xml:space="preserve"> y su modificatoria.</w:t>
            </w:r>
          </w:p>
          <w:p w14:paraId="5BA1590A" w14:textId="377C4658" w:rsidR="00162A89" w:rsidRPr="00E156BD" w:rsidRDefault="00162A89" w:rsidP="00197F7E">
            <w:pPr>
              <w:ind w:left="708"/>
              <w:jc w:val="both"/>
              <w:rPr>
                <w:rStyle w:val="Hipervnculo"/>
                <w:lang w:val="en-US"/>
              </w:rPr>
            </w:pPr>
            <w:r w:rsidRPr="00DB3DD5">
              <w:rPr>
                <w:rStyle w:val="Hipervnculo"/>
                <w:color w:val="auto"/>
                <w:u w:val="none"/>
                <w:lang w:val="en-US"/>
              </w:rPr>
              <w:t>Link</w:t>
            </w:r>
            <w:r w:rsidR="003C7A5F" w:rsidRPr="00DB3DD5">
              <w:rPr>
                <w:rStyle w:val="Hipervnculo"/>
                <w:color w:val="auto"/>
                <w:u w:val="none"/>
                <w:lang w:val="en-US"/>
              </w:rPr>
              <w:t>:</w:t>
            </w:r>
            <w:r w:rsidRPr="00DB3DD5">
              <w:rPr>
                <w:rStyle w:val="Hipervnculo"/>
                <w:color w:val="auto"/>
                <w:u w:val="none"/>
                <w:lang w:val="en-US"/>
              </w:rPr>
              <w:t xml:space="preserve"> </w:t>
            </w:r>
            <w:r w:rsidRPr="00C27BAE">
              <w:rPr>
                <w:rStyle w:val="Hipervnculo"/>
                <w:lang w:val="en-US"/>
              </w:rPr>
              <w:t>http://www.minedu.gob.pe/p/pdf/rvm-n-054-2021-minedu.pdf</w:t>
            </w:r>
          </w:p>
          <w:p w14:paraId="6F86F295" w14:textId="77777777" w:rsidR="00197F7E" w:rsidRPr="00162A89" w:rsidRDefault="00197F7E" w:rsidP="00197F7E">
            <w:pPr>
              <w:ind w:left="708"/>
              <w:jc w:val="both"/>
              <w:rPr>
                <w:lang w:val="en-US"/>
              </w:rPr>
            </w:pPr>
          </w:p>
          <w:p w14:paraId="584BFD59" w14:textId="224BE902" w:rsidR="00837CB5" w:rsidRPr="00057AB6" w:rsidRDefault="00197F7E" w:rsidP="00197F7E">
            <w:pPr>
              <w:jc w:val="both"/>
            </w:pPr>
            <w:r>
              <w:t>La OPMI del Sector Educación puede identificar como estándar de calidad otras normas que considere pertinentes.</w:t>
            </w:r>
          </w:p>
          <w:p w14:paraId="7643277B" w14:textId="77777777" w:rsidR="00002FFB" w:rsidRPr="00057AB6" w:rsidRDefault="00002FFB" w:rsidP="00057AB6">
            <w:pPr>
              <w:pStyle w:val="Prrafodelista"/>
              <w:ind w:left="313"/>
            </w:pPr>
          </w:p>
        </w:tc>
      </w:tr>
      <w:tr w:rsidR="001669A2" w:rsidRPr="005B4C21" w14:paraId="1CA9F9C0" w14:textId="77777777">
        <w:trPr>
          <w:trHeight w:val="260"/>
        </w:trPr>
        <w:tc>
          <w:tcPr>
            <w:tcW w:w="8529" w:type="dxa"/>
            <w:tcBorders>
              <w:left w:val="single" w:sz="4" w:space="0" w:color="auto"/>
              <w:bottom w:val="single" w:sz="4" w:space="0" w:color="auto"/>
            </w:tcBorders>
          </w:tcPr>
          <w:p w14:paraId="1F4B0921" w14:textId="77777777" w:rsidR="001669A2" w:rsidRPr="007F2000" w:rsidRDefault="001669A2" w:rsidP="00B72BD7">
            <w:pPr>
              <w:rPr>
                <w:b/>
              </w:rPr>
            </w:pPr>
          </w:p>
        </w:tc>
      </w:tr>
    </w:tbl>
    <w:p w14:paraId="2475CD9D" w14:textId="77777777" w:rsidR="00002FFB" w:rsidRPr="00057AB6" w:rsidRDefault="00002FFB" w:rsidP="00057AB6">
      <w:pPr>
        <w:spacing w:after="0" w:line="240" w:lineRule="auto"/>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40B1" w14:textId="77777777" w:rsidR="000C5AF9" w:rsidRDefault="000C5AF9">
      <w:pPr>
        <w:spacing w:after="0" w:line="240" w:lineRule="auto"/>
      </w:pPr>
      <w:r>
        <w:separator/>
      </w:r>
    </w:p>
  </w:endnote>
  <w:endnote w:type="continuationSeparator" w:id="0">
    <w:p w14:paraId="441AF986" w14:textId="77777777" w:rsidR="000C5AF9" w:rsidRDefault="000C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agSans-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4BD4" w14:textId="77777777" w:rsidR="000C5AF9" w:rsidRDefault="000C5AF9">
      <w:pPr>
        <w:spacing w:after="0" w:line="240" w:lineRule="auto"/>
      </w:pPr>
      <w:r>
        <w:separator/>
      </w:r>
    </w:p>
  </w:footnote>
  <w:footnote w:type="continuationSeparator" w:id="0">
    <w:p w14:paraId="371F32C1" w14:textId="77777777" w:rsidR="000C5AF9" w:rsidRDefault="000C5AF9">
      <w:pPr>
        <w:spacing w:after="0" w:line="240" w:lineRule="auto"/>
      </w:pPr>
      <w:r>
        <w:continuationSeparator/>
      </w:r>
    </w:p>
  </w:footnote>
  <w:footnote w:id="1">
    <w:p w14:paraId="1B670535" w14:textId="4776718E" w:rsidR="00002FFB" w:rsidRPr="002078C9" w:rsidRDefault="00F95B43" w:rsidP="00B72BD7">
      <w:pPr>
        <w:pStyle w:val="Textonotapie"/>
        <w:jc w:val="both"/>
        <w:rPr>
          <w:strike/>
        </w:rPr>
      </w:pPr>
      <w:r>
        <w:rPr>
          <w:rStyle w:val="Refdenotaalpie"/>
        </w:rPr>
        <w:footnoteRef/>
      </w:r>
      <w:r>
        <w:t xml:space="preserve"> </w:t>
      </w:r>
      <w:r w:rsidR="00B72BD7" w:rsidRPr="00B72BD7">
        <w:t>De no existir norma legal o técnica peruana indicar una norma internacional</w:t>
      </w:r>
      <w:r w:rsidR="00B72BD7">
        <w:t xml:space="preserve"> de referencia, de corresponder</w:t>
      </w:r>
      <w:r>
        <w:t>.</w:t>
      </w:r>
    </w:p>
  </w:footnote>
  <w:footnote w:id="2">
    <w:p w14:paraId="5A3F8A42" w14:textId="77777777" w:rsidR="00002FFB" w:rsidRDefault="00F95B43">
      <w:pPr>
        <w:pStyle w:val="Textonotapie"/>
      </w:pPr>
      <w:r w:rsidRPr="004739FB">
        <w:rPr>
          <w:rStyle w:val="Refdenotaalpie"/>
        </w:rPr>
        <w:footnoteRef/>
      </w:r>
      <w:r w:rsidRPr="004739FB">
        <w:t xml:space="preserve"> De</w:t>
      </w:r>
      <w:r w:rsidR="004739FB" w:rsidRPr="004739FB">
        <w:t xml:space="preserve"> </w:t>
      </w:r>
      <w:r w:rsidRPr="004739FB">
        <w:t>no existir norma legal o técnica peruana indicar una norma internacional de referencia.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4" w15:restartNumberingAfterBreak="0">
    <w:nsid w:val="16445201"/>
    <w:multiLevelType w:val="hybridMultilevel"/>
    <w:tmpl w:val="6BD098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6"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8"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2"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4"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7"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8" w15:restartNumberingAfterBreak="0">
    <w:nsid w:val="4B1C4260"/>
    <w:multiLevelType w:val="hybridMultilevel"/>
    <w:tmpl w:val="3F24C970"/>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9"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1"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3F7630D"/>
    <w:multiLevelType w:val="hybridMultilevel"/>
    <w:tmpl w:val="7D56B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4"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7"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A02211D"/>
    <w:multiLevelType w:val="hybridMultilevel"/>
    <w:tmpl w:val="038EA8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2"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num w:numId="1" w16cid:durableId="1121610378">
    <w:abstractNumId w:val="1"/>
  </w:num>
  <w:num w:numId="2" w16cid:durableId="1066028262">
    <w:abstractNumId w:val="2"/>
  </w:num>
  <w:num w:numId="3" w16cid:durableId="478812355">
    <w:abstractNumId w:val="9"/>
  </w:num>
  <w:num w:numId="4" w16cid:durableId="2126927357">
    <w:abstractNumId w:val="28"/>
  </w:num>
  <w:num w:numId="5" w16cid:durableId="2095322526">
    <w:abstractNumId w:val="29"/>
  </w:num>
  <w:num w:numId="6" w16cid:durableId="1020426568">
    <w:abstractNumId w:val="31"/>
  </w:num>
  <w:num w:numId="7" w16cid:durableId="112291877">
    <w:abstractNumId w:val="6"/>
  </w:num>
  <w:num w:numId="8" w16cid:durableId="1898735146">
    <w:abstractNumId w:val="12"/>
  </w:num>
  <w:num w:numId="9" w16cid:durableId="1622151922">
    <w:abstractNumId w:val="24"/>
  </w:num>
  <w:num w:numId="10" w16cid:durableId="859054681">
    <w:abstractNumId w:val="26"/>
  </w:num>
  <w:num w:numId="11" w16cid:durableId="2084719549">
    <w:abstractNumId w:val="20"/>
  </w:num>
  <w:num w:numId="12" w16cid:durableId="2014334883">
    <w:abstractNumId w:val="16"/>
  </w:num>
  <w:num w:numId="13" w16cid:durableId="770860430">
    <w:abstractNumId w:val="3"/>
  </w:num>
  <w:num w:numId="14" w16cid:durableId="1497963728">
    <w:abstractNumId w:val="11"/>
  </w:num>
  <w:num w:numId="15" w16cid:durableId="1710833091">
    <w:abstractNumId w:val="17"/>
  </w:num>
  <w:num w:numId="16" w16cid:durableId="1412922810">
    <w:abstractNumId w:val="32"/>
  </w:num>
  <w:num w:numId="17" w16cid:durableId="784346288">
    <w:abstractNumId w:val="13"/>
  </w:num>
  <w:num w:numId="18" w16cid:durableId="131020117">
    <w:abstractNumId w:val="10"/>
  </w:num>
  <w:num w:numId="19" w16cid:durableId="493302008">
    <w:abstractNumId w:val="7"/>
  </w:num>
  <w:num w:numId="20" w16cid:durableId="1178084179">
    <w:abstractNumId w:val="23"/>
  </w:num>
  <w:num w:numId="21" w16cid:durableId="910775141">
    <w:abstractNumId w:val="0"/>
  </w:num>
  <w:num w:numId="22" w16cid:durableId="824317165">
    <w:abstractNumId w:val="5"/>
  </w:num>
  <w:num w:numId="23" w16cid:durableId="134294534">
    <w:abstractNumId w:val="19"/>
  </w:num>
  <w:num w:numId="24" w16cid:durableId="1406414962">
    <w:abstractNumId w:val="15"/>
  </w:num>
  <w:num w:numId="25" w16cid:durableId="1023241304">
    <w:abstractNumId w:val="25"/>
  </w:num>
  <w:num w:numId="26" w16cid:durableId="835070141">
    <w:abstractNumId w:val="27"/>
  </w:num>
  <w:num w:numId="27" w16cid:durableId="1582061117">
    <w:abstractNumId w:val="21"/>
  </w:num>
  <w:num w:numId="28" w16cid:durableId="60249880">
    <w:abstractNumId w:val="14"/>
  </w:num>
  <w:num w:numId="29" w16cid:durableId="1396854886">
    <w:abstractNumId w:val="8"/>
  </w:num>
  <w:num w:numId="30" w16cid:durableId="414668710">
    <w:abstractNumId w:val="30"/>
  </w:num>
  <w:num w:numId="31" w16cid:durableId="913319061">
    <w:abstractNumId w:val="4"/>
  </w:num>
  <w:num w:numId="32" w16cid:durableId="449932743">
    <w:abstractNumId w:val="18"/>
  </w:num>
  <w:num w:numId="33" w16cid:durableId="10411315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57AB6"/>
    <w:rsid w:val="000A6481"/>
    <w:rsid w:val="000C5AF9"/>
    <w:rsid w:val="000E270B"/>
    <w:rsid w:val="001148CA"/>
    <w:rsid w:val="00116A6B"/>
    <w:rsid w:val="00145A3C"/>
    <w:rsid w:val="00147E34"/>
    <w:rsid w:val="00155C41"/>
    <w:rsid w:val="00162A89"/>
    <w:rsid w:val="001669A2"/>
    <w:rsid w:val="00167E0B"/>
    <w:rsid w:val="00174F0B"/>
    <w:rsid w:val="00182EB6"/>
    <w:rsid w:val="00190BF5"/>
    <w:rsid w:val="00197F7E"/>
    <w:rsid w:val="001D0268"/>
    <w:rsid w:val="001E4BB5"/>
    <w:rsid w:val="002078C9"/>
    <w:rsid w:val="00212675"/>
    <w:rsid w:val="00232119"/>
    <w:rsid w:val="00252DCA"/>
    <w:rsid w:val="002607DD"/>
    <w:rsid w:val="00264B7C"/>
    <w:rsid w:val="0027609D"/>
    <w:rsid w:val="002A2BE2"/>
    <w:rsid w:val="002B2D95"/>
    <w:rsid w:val="002B6CB0"/>
    <w:rsid w:val="002C4DBF"/>
    <w:rsid w:val="002C6A20"/>
    <w:rsid w:val="00304A3E"/>
    <w:rsid w:val="003057AE"/>
    <w:rsid w:val="00323348"/>
    <w:rsid w:val="00323651"/>
    <w:rsid w:val="003314E6"/>
    <w:rsid w:val="0033769C"/>
    <w:rsid w:val="00342C3E"/>
    <w:rsid w:val="003A142E"/>
    <w:rsid w:val="003B0531"/>
    <w:rsid w:val="003B200B"/>
    <w:rsid w:val="003B27F6"/>
    <w:rsid w:val="003C7A5F"/>
    <w:rsid w:val="003F2F71"/>
    <w:rsid w:val="00422E98"/>
    <w:rsid w:val="004739FB"/>
    <w:rsid w:val="00480A6B"/>
    <w:rsid w:val="00492505"/>
    <w:rsid w:val="004A45D8"/>
    <w:rsid w:val="004C5E7A"/>
    <w:rsid w:val="004F263F"/>
    <w:rsid w:val="005028F9"/>
    <w:rsid w:val="00522A99"/>
    <w:rsid w:val="00525E19"/>
    <w:rsid w:val="00526C3B"/>
    <w:rsid w:val="00534073"/>
    <w:rsid w:val="00594BD7"/>
    <w:rsid w:val="005B4C21"/>
    <w:rsid w:val="005C2079"/>
    <w:rsid w:val="005C2230"/>
    <w:rsid w:val="005C4F7E"/>
    <w:rsid w:val="005D773F"/>
    <w:rsid w:val="005E40F3"/>
    <w:rsid w:val="005E4533"/>
    <w:rsid w:val="006113CA"/>
    <w:rsid w:val="00640C88"/>
    <w:rsid w:val="00646FA1"/>
    <w:rsid w:val="00680DE7"/>
    <w:rsid w:val="006A7A58"/>
    <w:rsid w:val="006D0F10"/>
    <w:rsid w:val="006D225B"/>
    <w:rsid w:val="007211EA"/>
    <w:rsid w:val="00734AEC"/>
    <w:rsid w:val="00744859"/>
    <w:rsid w:val="00753403"/>
    <w:rsid w:val="00793CA5"/>
    <w:rsid w:val="007A514E"/>
    <w:rsid w:val="007F2000"/>
    <w:rsid w:val="007F4895"/>
    <w:rsid w:val="00807D34"/>
    <w:rsid w:val="00834A04"/>
    <w:rsid w:val="00837CB5"/>
    <w:rsid w:val="008460A4"/>
    <w:rsid w:val="00886B02"/>
    <w:rsid w:val="008917B2"/>
    <w:rsid w:val="008C42F5"/>
    <w:rsid w:val="008C5E5F"/>
    <w:rsid w:val="008C7C89"/>
    <w:rsid w:val="008D09B1"/>
    <w:rsid w:val="008D7C79"/>
    <w:rsid w:val="008E7CC4"/>
    <w:rsid w:val="00920E7E"/>
    <w:rsid w:val="00922E2C"/>
    <w:rsid w:val="0093701C"/>
    <w:rsid w:val="00955BB3"/>
    <w:rsid w:val="0096436A"/>
    <w:rsid w:val="009C4AEF"/>
    <w:rsid w:val="009D0F64"/>
    <w:rsid w:val="009D1103"/>
    <w:rsid w:val="009E268D"/>
    <w:rsid w:val="009F7131"/>
    <w:rsid w:val="00AD52F2"/>
    <w:rsid w:val="00B00F05"/>
    <w:rsid w:val="00B1091B"/>
    <w:rsid w:val="00B22419"/>
    <w:rsid w:val="00B3234C"/>
    <w:rsid w:val="00B43004"/>
    <w:rsid w:val="00B479CF"/>
    <w:rsid w:val="00B52927"/>
    <w:rsid w:val="00B72BD7"/>
    <w:rsid w:val="00BB18BF"/>
    <w:rsid w:val="00BB3374"/>
    <w:rsid w:val="00BD0FC1"/>
    <w:rsid w:val="00C27BAE"/>
    <w:rsid w:val="00C345C1"/>
    <w:rsid w:val="00C4369B"/>
    <w:rsid w:val="00C55507"/>
    <w:rsid w:val="00C60E02"/>
    <w:rsid w:val="00C958F7"/>
    <w:rsid w:val="00CB57F1"/>
    <w:rsid w:val="00D23C2F"/>
    <w:rsid w:val="00D44846"/>
    <w:rsid w:val="00D9731F"/>
    <w:rsid w:val="00DB3DD5"/>
    <w:rsid w:val="00DB6862"/>
    <w:rsid w:val="00DC6005"/>
    <w:rsid w:val="00DF5C7D"/>
    <w:rsid w:val="00E03C97"/>
    <w:rsid w:val="00E156BD"/>
    <w:rsid w:val="00E1596C"/>
    <w:rsid w:val="00E25368"/>
    <w:rsid w:val="00E33CB9"/>
    <w:rsid w:val="00E52BBB"/>
    <w:rsid w:val="00E602AA"/>
    <w:rsid w:val="00EA4468"/>
    <w:rsid w:val="00EE08C9"/>
    <w:rsid w:val="00EF4810"/>
    <w:rsid w:val="00F1741C"/>
    <w:rsid w:val="00F2039F"/>
    <w:rsid w:val="00F2589D"/>
    <w:rsid w:val="00F258A2"/>
    <w:rsid w:val="00F2659A"/>
    <w:rsid w:val="00F504F1"/>
    <w:rsid w:val="00F51BAA"/>
    <w:rsid w:val="00F76C75"/>
    <w:rsid w:val="00F95B43"/>
    <w:rsid w:val="00FB37BF"/>
    <w:rsid w:val="00FB7B1E"/>
    <w:rsid w:val="00FD4E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E156BD"/>
    <w:pPr>
      <w:spacing w:after="0" w:line="240" w:lineRule="auto"/>
    </w:pPr>
  </w:style>
  <w:style w:type="paragraph" w:styleId="NormalWeb">
    <w:name w:val="Normal (Web)"/>
    <w:basedOn w:val="Normal"/>
    <w:uiPriority w:val="99"/>
    <w:unhideWhenUsed/>
    <w:rsid w:val="00E03C97"/>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customStyle="1" w:styleId="decretossupremos">
    <w:name w:val="decretossupremos"/>
    <w:basedOn w:val="Fuentedeprrafopredeter"/>
    <w:rsid w:val="00E03C97"/>
  </w:style>
  <w:style w:type="paragraph" w:customStyle="1" w:styleId="ley-2">
    <w:name w:val="ley-2"/>
    <w:basedOn w:val="Normal"/>
    <w:rsid w:val="00807D3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114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b.pe/p/ley_general_de_educacion_28044.pdf" TargetMode="External"/><Relationship Id="rId13" Type="http://schemas.openxmlformats.org/officeDocument/2006/relationships/hyperlink" Target="http://www.construccion.org/normas/rne2012/rne200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squedas.elperuano.pe/normaslegales/ley-que-promueve-la-atencion-educativa-integral-de-los-estud-ley-n-30772-165116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pe/institucion/minedu/normas-legales/171283-036-2015-mi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b.pe/institucion/minedu/normas-legales/118256-0011-2012-ed" TargetMode="External"/><Relationship Id="rId4" Type="http://schemas.openxmlformats.org/officeDocument/2006/relationships/settings" Target="settings.xml"/><Relationship Id="rId9" Type="http://schemas.openxmlformats.org/officeDocument/2006/relationships/hyperlink" Target="http://www.minedu.gob.pe/files/3896_201207100937.pdf" TargetMode="External"/><Relationship Id="rId14" Type="http://schemas.openxmlformats.org/officeDocument/2006/relationships/hyperlink" Target="https://www.gob.pe/institucion/minedu/normas-legales/274899-104-2019-min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9176-30A9-4EB9-8057-F6682BB6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1674</Words>
  <Characters>9213</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ERNESTO FRANCISCO ARIAS VALVERDE</cp:lastModifiedBy>
  <cp:revision>6</cp:revision>
  <dcterms:created xsi:type="dcterms:W3CDTF">2023-06-27T02:06:00Z</dcterms:created>
  <dcterms:modified xsi:type="dcterms:W3CDTF">2023-06-27T16:39:00Z</dcterms:modified>
</cp:coreProperties>
</file>