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AC" w14:textId="33F0331B" w:rsidR="00525E19" w:rsidRPr="00057AB6" w:rsidRDefault="00525E19" w:rsidP="00057AB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2FFB" w:rsidRPr="007F2000" w14:paraId="6E5BFB72" w14:textId="77777777">
        <w:tc>
          <w:tcPr>
            <w:tcW w:w="8494" w:type="dxa"/>
          </w:tcPr>
          <w:p w14:paraId="0A08EB6A" w14:textId="77777777" w:rsidR="007F2000" w:rsidRDefault="00190BF5" w:rsidP="00057AB6">
            <w:pPr>
              <w:jc w:val="center"/>
              <w:rPr>
                <w:b/>
                <w:sz w:val="26"/>
                <w:szCs w:val="26"/>
              </w:rPr>
            </w:pPr>
            <w:r w:rsidRPr="007F2000"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40CF5E28" w14:textId="2221E989" w:rsidR="00002FFB" w:rsidRPr="007F2000" w:rsidRDefault="00190BF5" w:rsidP="00057AB6">
            <w:pPr>
              <w:jc w:val="center"/>
            </w:pPr>
            <w:r w:rsidRPr="007F2000"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59CA393A" w14:textId="7CB617E4" w:rsidR="00002FFB" w:rsidRPr="007F2000" w:rsidRDefault="00002FFB" w:rsidP="00057AB6">
      <w:pPr>
        <w:spacing w:after="0" w:line="240" w:lineRule="auto"/>
      </w:pPr>
    </w:p>
    <w:p w14:paraId="70BF910B" w14:textId="7009C18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>I.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AD106A" w:rsidRPr="007F2000" w14:paraId="0BECCDC2" w14:textId="77777777">
        <w:tc>
          <w:tcPr>
            <w:tcW w:w="3539" w:type="dxa"/>
          </w:tcPr>
          <w:p w14:paraId="3E0246CE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Nombre de la entidad pública:</w:t>
            </w:r>
          </w:p>
        </w:tc>
        <w:tc>
          <w:tcPr>
            <w:tcW w:w="4955" w:type="dxa"/>
          </w:tcPr>
          <w:p w14:paraId="7863136A" w14:textId="2D574A12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AD106A" w:rsidRPr="007F2000" w14:paraId="78C4B0FE" w14:textId="77777777">
        <w:tc>
          <w:tcPr>
            <w:tcW w:w="3539" w:type="dxa"/>
          </w:tcPr>
          <w:p w14:paraId="169E55E2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Órgano técnico normativo competente:</w:t>
            </w:r>
          </w:p>
        </w:tc>
        <w:tc>
          <w:tcPr>
            <w:tcW w:w="4955" w:type="dxa"/>
          </w:tcPr>
          <w:p w14:paraId="535180BD" w14:textId="08C16012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AD106A" w:rsidRPr="007F2000" w14:paraId="683EEEB7" w14:textId="77777777">
        <w:tc>
          <w:tcPr>
            <w:tcW w:w="3539" w:type="dxa"/>
          </w:tcPr>
          <w:p w14:paraId="5AA4889A" w14:textId="4FC96860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Unidad Orgánica Responsable:</w:t>
            </w:r>
          </w:p>
        </w:tc>
        <w:tc>
          <w:tcPr>
            <w:tcW w:w="4955" w:type="dxa"/>
          </w:tcPr>
          <w:p w14:paraId="75195781" w14:textId="7D8F499C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>Dirección General de Educación Técnico-Productiva y Superior Tecnológica y Artística</w:t>
            </w:r>
          </w:p>
        </w:tc>
      </w:tr>
      <w:tr w:rsidR="00AD106A" w:rsidRPr="007F2000" w14:paraId="4C312602" w14:textId="77777777" w:rsidTr="004A18E0">
        <w:tc>
          <w:tcPr>
            <w:tcW w:w="3539" w:type="dxa"/>
          </w:tcPr>
          <w:p w14:paraId="2CC6F46A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679B4EF6" w14:textId="6D4E16EF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AD106A" w:rsidRPr="007F2000" w14:paraId="47CE98C0" w14:textId="77777777" w:rsidTr="004A18E0">
        <w:tc>
          <w:tcPr>
            <w:tcW w:w="3539" w:type="dxa"/>
          </w:tcPr>
          <w:p w14:paraId="148BF11F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57ADF64C" w14:textId="2FA23E8D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326B61"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AD106A" w:rsidRPr="007F2000" w14:paraId="33B5D58C" w14:textId="77777777" w:rsidTr="004A18E0">
        <w:tc>
          <w:tcPr>
            <w:tcW w:w="3539" w:type="dxa"/>
          </w:tcPr>
          <w:p w14:paraId="5BC6E11B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77B69D1A" w14:textId="7E468089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048 </w:t>
            </w:r>
            <w:r w:rsidR="00326B61"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Superior</w:t>
            </w:r>
          </w:p>
        </w:tc>
      </w:tr>
      <w:tr w:rsidR="00AD106A" w:rsidRPr="007F2000" w14:paraId="2521A0EB" w14:textId="77777777" w:rsidTr="004A18E0">
        <w:tc>
          <w:tcPr>
            <w:tcW w:w="3539" w:type="dxa"/>
          </w:tcPr>
          <w:p w14:paraId="61CE334D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3E92E9D7" w14:textId="71BDF563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0108 </w:t>
            </w:r>
            <w:r w:rsidR="00326B61">
              <w:rPr>
                <w:rFonts w:ascii="Arial" w:hAnsi="Arial" w:cs="Arial"/>
                <w:color w:val="000000"/>
                <w:sz w:val="18"/>
                <w:szCs w:val="18"/>
              </w:rPr>
              <w:t>educación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Superior No Universitaria</w:t>
            </w:r>
          </w:p>
        </w:tc>
      </w:tr>
      <w:tr w:rsidR="00AD106A" w:rsidRPr="007F2000" w14:paraId="3E94C2B7" w14:textId="77777777" w:rsidTr="004A18E0">
        <w:tc>
          <w:tcPr>
            <w:tcW w:w="3539" w:type="dxa"/>
          </w:tcPr>
          <w:p w14:paraId="1627199C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750E3F06" w14:textId="38E6285D" w:rsidR="00AD106A" w:rsidRPr="007F2000" w:rsidRDefault="00AD106A" w:rsidP="00AD106A">
            <w:r>
              <w:rPr>
                <w:rFonts w:ascii="Arial" w:hAnsi="Arial" w:cs="Arial"/>
                <w:color w:val="000000"/>
                <w:sz w:val="18"/>
                <w:szCs w:val="18"/>
              </w:rPr>
              <w:t>Servicio de Educación Superior Artística</w:t>
            </w:r>
          </w:p>
        </w:tc>
      </w:tr>
      <w:tr w:rsidR="00AD106A" w:rsidRPr="007F2000" w14:paraId="1734AC67" w14:textId="77777777" w:rsidTr="004A18E0">
        <w:tc>
          <w:tcPr>
            <w:tcW w:w="3539" w:type="dxa"/>
          </w:tcPr>
          <w:p w14:paraId="6BFEB1EE" w14:textId="77777777" w:rsidR="00AD106A" w:rsidRPr="007F2000" w:rsidRDefault="00AD106A" w:rsidP="00AD106A">
            <w:pPr>
              <w:rPr>
                <w:b/>
              </w:rPr>
            </w:pPr>
            <w:r w:rsidRPr="007F2000"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24FCF44B" w14:textId="70A73E37" w:rsidR="00AD106A" w:rsidRPr="007F2000" w:rsidRDefault="00AD106A" w:rsidP="00AD106A">
            <w:pPr>
              <w:tabs>
                <w:tab w:val="left" w:pos="3110"/>
              </w:tabs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Educación Superior Artística</w:t>
            </w:r>
          </w:p>
        </w:tc>
      </w:tr>
    </w:tbl>
    <w:p w14:paraId="5AC6A603" w14:textId="478C2ED0" w:rsidR="00002FFB" w:rsidRPr="007F2000" w:rsidRDefault="00002FFB" w:rsidP="00057AB6">
      <w:pPr>
        <w:spacing w:after="0" w:line="240" w:lineRule="auto"/>
      </w:pPr>
    </w:p>
    <w:p w14:paraId="67ECB63B" w14:textId="22F95F4E" w:rsidR="00190BF5" w:rsidRPr="007F2000" w:rsidRDefault="00190BF5" w:rsidP="00057AB6">
      <w:pPr>
        <w:spacing w:after="0" w:line="240" w:lineRule="auto"/>
        <w:rPr>
          <w:b/>
        </w:rPr>
      </w:pPr>
      <w:r w:rsidRPr="007F2000">
        <w:rPr>
          <w:b/>
        </w:rPr>
        <w:t xml:space="preserve">II. </w:t>
      </w:r>
      <w:r w:rsidR="007F2000">
        <w:rPr>
          <w:b/>
        </w:rPr>
        <w:t>Datos</w:t>
      </w:r>
      <w:r w:rsidRPr="007F2000">
        <w:rPr>
          <w:b/>
        </w:rPr>
        <w:t xml:space="preserve"> sobre el servicio</w:t>
      </w:r>
    </w:p>
    <w:tbl>
      <w:tblPr>
        <w:tblStyle w:val="Tablaconcuadrcula"/>
        <w:tblW w:w="8529" w:type="dxa"/>
        <w:tblLayout w:type="fixed"/>
        <w:tblLook w:val="04A0" w:firstRow="1" w:lastRow="0" w:firstColumn="1" w:lastColumn="0" w:noHBand="0" w:noVBand="1"/>
      </w:tblPr>
      <w:tblGrid>
        <w:gridCol w:w="8529"/>
      </w:tblGrid>
      <w:tr w:rsidR="00057AB6" w:rsidRPr="007F2000" w14:paraId="3112AB4A" w14:textId="77777777">
        <w:trPr>
          <w:trHeight w:val="260"/>
        </w:trPr>
        <w:tc>
          <w:tcPr>
            <w:tcW w:w="8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11DB9C95" w14:textId="399D5D6C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 xml:space="preserve">Definición del Servicio </w:t>
            </w:r>
            <w:r w:rsidR="00190BF5" w:rsidRPr="007F2000">
              <w:rPr>
                <w:b/>
              </w:rPr>
              <w:t>con brecha priorizada</w:t>
            </w:r>
          </w:p>
        </w:tc>
      </w:tr>
      <w:tr w:rsidR="00057AB6" w:rsidRPr="002F4A30" w14:paraId="5E448942" w14:textId="77777777" w:rsidTr="00190BF5">
        <w:trPr>
          <w:trHeight w:val="841"/>
        </w:trPr>
        <w:tc>
          <w:tcPr>
            <w:tcW w:w="8529" w:type="dxa"/>
            <w:tcBorders>
              <w:left w:val="single" w:sz="4" w:space="0" w:color="auto"/>
            </w:tcBorders>
          </w:tcPr>
          <w:p w14:paraId="066E8B4B" w14:textId="1B80516F" w:rsidR="007F2000" w:rsidRDefault="007F2000" w:rsidP="00190BF5">
            <w:pPr>
              <w:rPr>
                <w:b/>
              </w:rPr>
            </w:pPr>
          </w:p>
          <w:p w14:paraId="1FFEEB49" w14:textId="53C9F951" w:rsidR="00002FFB" w:rsidRPr="007F2000" w:rsidRDefault="00F95B43" w:rsidP="00190BF5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11950CE4" w14:textId="77777777" w:rsidR="00002FFB" w:rsidRPr="007F2000" w:rsidRDefault="00002FFB" w:rsidP="00057AB6">
            <w:pPr>
              <w:pStyle w:val="Prrafodelista"/>
              <w:ind w:left="313"/>
            </w:pPr>
          </w:p>
          <w:p w14:paraId="704982F6" w14:textId="2D934675" w:rsidR="00AD106A" w:rsidRPr="002B2068" w:rsidRDefault="00AD106A" w:rsidP="00AD106A">
            <w:pPr>
              <w:jc w:val="both"/>
              <w:rPr>
                <w:b/>
                <w:color w:val="000000" w:themeColor="text1"/>
              </w:rPr>
            </w:pPr>
            <w:r w:rsidRPr="00F7044A">
              <w:rPr>
                <w:b/>
                <w:color w:val="000000" w:themeColor="text1"/>
              </w:rPr>
              <w:t>Servicio de Educación Superior Artística</w:t>
            </w:r>
          </w:p>
          <w:p w14:paraId="18CC35FC" w14:textId="6EF138D8" w:rsidR="007F2000" w:rsidRPr="002B2068" w:rsidRDefault="00AF73E4" w:rsidP="002B2068">
            <w:pPr>
              <w:pStyle w:val="NormalWeb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206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“</w:t>
            </w:r>
            <w:r w:rsidR="00AD106A" w:rsidRPr="002B206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La Educación Superior constituye la segunda etapa del Sistema Educativo Nacional que consolida la formación integral de las personas, produce conocimiento, desarrolla la investigación e innovación y forma profesionales en el más alto nivel de especialización y perfeccionamiento en todos los campos del saber, el arte, la cultura, la ciencia y la tecnología a fin de cubrir la demanda de la sociedad y contribuir al desarrollo y sostenibilidad del país </w:t>
            </w:r>
            <w:r w:rsidRPr="002B2068">
              <w:rPr>
                <w:rFonts w:asciiTheme="minorHAnsi" w:hAnsiTheme="minorHAnsi" w:cstheme="minorHAnsi"/>
                <w:i/>
                <w:sz w:val="22"/>
                <w:szCs w:val="22"/>
              </w:rPr>
              <w:t>y su adecuada inserción internacional.”</w:t>
            </w:r>
            <w:r w:rsidR="002B2068" w:rsidRPr="002B20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2B20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D106A" w:rsidRPr="002B206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(Norma 1).</w:t>
            </w:r>
          </w:p>
          <w:p w14:paraId="5930C1C0" w14:textId="5C3DB442" w:rsidR="005146F1" w:rsidRPr="002B2068" w:rsidRDefault="002B2068" w:rsidP="00F7044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B2068">
              <w:rPr>
                <w:rFonts w:cstheme="minorHAnsi"/>
                <w:i/>
                <w:iCs/>
              </w:rPr>
              <w:t>“</w:t>
            </w:r>
            <w:r w:rsidR="005146F1" w:rsidRPr="002B2068">
              <w:rPr>
                <w:rFonts w:cstheme="minorHAnsi"/>
                <w:i/>
                <w:iCs/>
              </w:rPr>
              <w:t>Este servicio brinda formación en el campo artístico o de artista profesional, en diferentes especialidades. Además, brinda formación artística temprana, la cual no se constituye como educación superior, pero resulta necesaria en la formación superior de algunas disciplinas artísticas</w:t>
            </w:r>
            <w:r w:rsidRPr="002B2068">
              <w:rPr>
                <w:rFonts w:cstheme="minorHAnsi"/>
                <w:i/>
                <w:iCs/>
              </w:rPr>
              <w:t>”</w:t>
            </w:r>
            <w:r w:rsidR="001239C0" w:rsidRPr="002B2068">
              <w:rPr>
                <w:rFonts w:cstheme="minorHAnsi"/>
              </w:rPr>
              <w:t xml:space="preserve"> (Norma </w:t>
            </w:r>
            <w:r w:rsidRPr="002B2068">
              <w:rPr>
                <w:rFonts w:cstheme="minorHAnsi"/>
              </w:rPr>
              <w:t>2</w:t>
            </w:r>
            <w:r w:rsidR="001239C0" w:rsidRPr="002B2068">
              <w:rPr>
                <w:rFonts w:cstheme="minorHAnsi"/>
              </w:rPr>
              <w:t>).</w:t>
            </w:r>
          </w:p>
          <w:p w14:paraId="64CB664D" w14:textId="6A2079AD" w:rsidR="00EA5E5C" w:rsidRDefault="00EA5E5C" w:rsidP="007F2000">
            <w:pPr>
              <w:pStyle w:val="Prrafodelista"/>
              <w:ind w:left="313"/>
              <w:jc w:val="both"/>
              <w:rPr>
                <w:b/>
              </w:rPr>
            </w:pPr>
          </w:p>
          <w:p w14:paraId="51AB472C" w14:textId="77777777" w:rsidR="00002FFB" w:rsidRPr="007F2000" w:rsidRDefault="00F95B43" w:rsidP="00190BF5">
            <w:pPr>
              <w:rPr>
                <w:b/>
              </w:rPr>
            </w:pPr>
            <w:r w:rsidRPr="007F2000">
              <w:rPr>
                <w:b/>
              </w:rPr>
              <w:t>Norma Legal:</w:t>
            </w:r>
          </w:p>
          <w:p w14:paraId="32D64C1C" w14:textId="48B6B1EC" w:rsidR="00002FFB" w:rsidRDefault="00002FFB" w:rsidP="00AD106A"/>
          <w:p w14:paraId="0574C2D8" w14:textId="00362175" w:rsidR="00AD106A" w:rsidRDefault="00AD106A" w:rsidP="00AD106A">
            <w:r>
              <w:t>(</w:t>
            </w:r>
            <w:r w:rsidR="0054519D">
              <w:t xml:space="preserve">Norma </w:t>
            </w:r>
            <w:r>
              <w:t>1)</w:t>
            </w:r>
            <w:r w:rsidR="00AF73E4">
              <w:t xml:space="preserve"> Artículo 49 de </w:t>
            </w:r>
            <w:r w:rsidR="00A036AD">
              <w:t>la Ley</w:t>
            </w:r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28044, Ley General de Educación y sus modificatorias</w:t>
            </w:r>
          </w:p>
          <w:p w14:paraId="6B638FB0" w14:textId="36EC72E4" w:rsidR="00AD106A" w:rsidRPr="00AD106A" w:rsidRDefault="00AD106A" w:rsidP="00AD106A">
            <w:pPr>
              <w:rPr>
                <w:color w:val="0070C0"/>
                <w:lang w:val="en-AU"/>
              </w:rPr>
            </w:pPr>
            <w:r w:rsidRPr="00AD106A">
              <w:rPr>
                <w:lang w:val="en-AU"/>
              </w:rPr>
              <w:t xml:space="preserve">LINK:  </w:t>
            </w:r>
            <w:r w:rsidRPr="002F4A30">
              <w:rPr>
                <w:color w:val="0070C0"/>
                <w:u w:val="single"/>
                <w:lang w:val="en-AU"/>
              </w:rPr>
              <w:t>http://www.minedu.gob.pe/p/ley_general_de_educacion_28044.pdf</w:t>
            </w:r>
          </w:p>
          <w:p w14:paraId="6137FAA2" w14:textId="77777777" w:rsidR="00AF73E4" w:rsidRDefault="00AF73E4" w:rsidP="00AF73E4">
            <w:pPr>
              <w:rPr>
                <w:color w:val="0070C0"/>
                <w:lang w:val="en-AU"/>
              </w:rPr>
            </w:pPr>
          </w:p>
          <w:p w14:paraId="5272B6C5" w14:textId="7D192E8B" w:rsidR="005146F1" w:rsidRPr="00F7044A" w:rsidRDefault="005146F1" w:rsidP="00AD106A">
            <w:r w:rsidRPr="00F7044A">
              <w:t>(</w:t>
            </w:r>
            <w:r w:rsidR="0054519D">
              <w:t xml:space="preserve">Norma </w:t>
            </w:r>
            <w:r w:rsidR="002B2068">
              <w:t>2</w:t>
            </w:r>
            <w:r w:rsidRPr="00F7044A">
              <w:t xml:space="preserve">) </w:t>
            </w:r>
            <w:r w:rsidR="002B2068">
              <w:t xml:space="preserve">Párrafo 3 de la sección V de la </w:t>
            </w:r>
            <w:r w:rsidRPr="00F7044A">
              <w:t>Política Nacional de Educación Superior y Técnico Productiva</w:t>
            </w:r>
          </w:p>
          <w:p w14:paraId="1112DBA0" w14:textId="35295635" w:rsidR="005146F1" w:rsidRPr="00AD106A" w:rsidRDefault="005146F1" w:rsidP="00AD106A">
            <w:pPr>
              <w:rPr>
                <w:lang w:val="en-AU"/>
              </w:rPr>
            </w:pPr>
            <w:r w:rsidRPr="00F7044A">
              <w:rPr>
                <w:color w:val="000000" w:themeColor="text1"/>
                <w:lang w:val="en-AU"/>
              </w:rPr>
              <w:t>LINK</w:t>
            </w:r>
            <w:r w:rsidR="0054519D" w:rsidRPr="00F7044A">
              <w:rPr>
                <w:color w:val="000000" w:themeColor="text1"/>
                <w:lang w:val="en-AU"/>
              </w:rPr>
              <w:t>:</w:t>
            </w:r>
            <w:r w:rsidRPr="00F7044A">
              <w:rPr>
                <w:color w:val="000000" w:themeColor="text1"/>
                <w:lang w:val="en-AU"/>
              </w:rPr>
              <w:t xml:space="preserve"> </w:t>
            </w:r>
            <w:r w:rsidR="001239C0" w:rsidRPr="002F4A30">
              <w:rPr>
                <w:color w:val="0070C0"/>
                <w:u w:val="single"/>
                <w:lang w:val="en-AU"/>
              </w:rPr>
              <w:t>https://www.gob.pe/institucion/minedu/informes-publicaciones/1129291-politica-nacional-de-educacion-superior-y-tecnico-productiva</w:t>
            </w:r>
          </w:p>
          <w:p w14:paraId="2405733D" w14:textId="77777777" w:rsidR="001D1C11" w:rsidRDefault="001D1C11" w:rsidP="00AD106A">
            <w:pPr>
              <w:rPr>
                <w:color w:val="0070C0"/>
                <w:lang w:val="en-AU"/>
              </w:rPr>
            </w:pPr>
          </w:p>
          <w:p w14:paraId="67C07B3C" w14:textId="2BDE605F" w:rsidR="001239C0" w:rsidRPr="00AD106A" w:rsidRDefault="001239C0" w:rsidP="00AD106A">
            <w:pPr>
              <w:rPr>
                <w:lang w:val="en-AU"/>
              </w:rPr>
            </w:pPr>
          </w:p>
        </w:tc>
      </w:tr>
      <w:tr w:rsidR="00057AB6" w:rsidRPr="007F2000" w14:paraId="509F030F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203FF4CC" w14:textId="673E7806" w:rsidR="00002FFB" w:rsidRPr="007F2000" w:rsidRDefault="00190BF5" w:rsidP="00057AB6">
            <w:r w:rsidRPr="007F2000">
              <w:rPr>
                <w:b/>
              </w:rPr>
              <w:t>Nivel</w:t>
            </w:r>
            <w:r w:rsidR="00F95B43" w:rsidRPr="007F2000">
              <w:rPr>
                <w:b/>
              </w:rPr>
              <w:t xml:space="preserve"> de Servicio</w:t>
            </w:r>
            <w:r w:rsidR="00F95B43" w:rsidRPr="007F2000">
              <w:rPr>
                <w:rStyle w:val="Refdenotaalpie"/>
                <w:b/>
              </w:rPr>
              <w:footnoteReference w:id="1"/>
            </w:r>
          </w:p>
        </w:tc>
      </w:tr>
      <w:tr w:rsidR="00057AB6" w:rsidRPr="002F4A30" w14:paraId="5AFB2F64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01BB1C53" w14:textId="77777777" w:rsidR="00EA5E5C" w:rsidRDefault="00EA5E5C" w:rsidP="00190BF5">
            <w:pPr>
              <w:rPr>
                <w:b/>
              </w:rPr>
            </w:pPr>
          </w:p>
          <w:p w14:paraId="7F454531" w14:textId="59EEEBB1" w:rsidR="00002FFB" w:rsidRDefault="00F95B43" w:rsidP="00190BF5">
            <w:r w:rsidRPr="007F2000">
              <w:rPr>
                <w:b/>
              </w:rPr>
              <w:lastRenderedPageBreak/>
              <w:t>Descripción</w:t>
            </w:r>
            <w:r w:rsidRPr="007F2000">
              <w:t>:</w:t>
            </w:r>
          </w:p>
          <w:p w14:paraId="3DD4BC25" w14:textId="25429EED" w:rsidR="00D130AB" w:rsidRDefault="00D130AB" w:rsidP="00190BF5"/>
          <w:p w14:paraId="07D7A884" w14:textId="173D75F7" w:rsidR="00D130AB" w:rsidRPr="00726A7E" w:rsidRDefault="00726A7E" w:rsidP="00726A7E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D130AB" w:rsidRPr="00726A7E">
              <w:rPr>
                <w:b/>
              </w:rPr>
              <w:t xml:space="preserve">Nivel </w:t>
            </w:r>
            <w:r w:rsidR="001D5FE1" w:rsidRPr="00726A7E">
              <w:rPr>
                <w:b/>
              </w:rPr>
              <w:t>de Servicio de Educación Superior de F</w:t>
            </w:r>
            <w:r w:rsidR="00D130AB" w:rsidRPr="00726A7E">
              <w:rPr>
                <w:b/>
              </w:rPr>
              <w:t>ormación Artística</w:t>
            </w:r>
          </w:p>
          <w:p w14:paraId="1F7C547A" w14:textId="77777777" w:rsidR="00002FFB" w:rsidRPr="007F2000" w:rsidRDefault="00002FFB" w:rsidP="00057AB6">
            <w:pPr>
              <w:pStyle w:val="Prrafodelista"/>
              <w:ind w:left="1080"/>
              <w:rPr>
                <w:sz w:val="14"/>
              </w:rPr>
            </w:pPr>
          </w:p>
          <w:p w14:paraId="74DC82B8" w14:textId="77777777" w:rsidR="00E63D90" w:rsidRDefault="00E63D90" w:rsidP="00E63D90">
            <w:pPr>
              <w:jc w:val="both"/>
            </w:pPr>
            <w:r>
              <w:t xml:space="preserve">Este servicio brinda formación en el campo artístico o de artista profesional, en diferentes especialidades. Además, brinda formación artística temprana, la cual no se constituye como educación superior, pero resulta necesaria en la formación superior de algunas disciplinas artísticas. </w:t>
            </w:r>
          </w:p>
          <w:p w14:paraId="1ACD09D7" w14:textId="77777777" w:rsidR="002B2068" w:rsidRDefault="002B2068" w:rsidP="00E63D90">
            <w:pPr>
              <w:jc w:val="both"/>
            </w:pPr>
          </w:p>
          <w:p w14:paraId="3FE06F0D" w14:textId="36F63129" w:rsidR="007F2000" w:rsidRDefault="00AD106A" w:rsidP="00AD106A">
            <w:pPr>
              <w:jc w:val="both"/>
            </w:pPr>
            <w:r w:rsidRPr="00A21490">
              <w:t xml:space="preserve">La Educación Superior Artística se oferta en las Escuelas Superiores de Formación Artística (ESFA). En tales instituciones educativas se forman artistas profesionales y docentes de arte. En la medida que las ESFA no se encuentran bajo el alcance de la Ley </w:t>
            </w:r>
            <w:proofErr w:type="spellStart"/>
            <w:r w:rsidRPr="00A21490">
              <w:t>Nº</w:t>
            </w:r>
            <w:proofErr w:type="spellEnd"/>
            <w:r w:rsidRPr="00A21490">
              <w:t xml:space="preserve"> 30512, se encuentra pendiente la aprobación de una norma específica que regule el funcionamiento de las ESFA.</w:t>
            </w:r>
          </w:p>
          <w:p w14:paraId="3BACD7ED" w14:textId="77777777" w:rsidR="002B2068" w:rsidRDefault="002B2068" w:rsidP="00AD106A">
            <w:pPr>
              <w:jc w:val="both"/>
            </w:pPr>
          </w:p>
          <w:p w14:paraId="720A43D2" w14:textId="1DC8CEA8" w:rsidR="00337944" w:rsidRDefault="00337944" w:rsidP="00AD106A">
            <w:pPr>
              <w:jc w:val="both"/>
            </w:pPr>
            <w:r>
              <w:t>Las ESFA otorgan los siguientes grados y títulos:</w:t>
            </w:r>
          </w:p>
          <w:p w14:paraId="747CFFA0" w14:textId="7A679169" w:rsidR="00337944" w:rsidRDefault="00337944" w:rsidP="00AD106A">
            <w:pPr>
              <w:jc w:val="both"/>
            </w:pPr>
          </w:p>
          <w:p w14:paraId="724265BF" w14:textId="301F4BD8" w:rsidR="00337944" w:rsidRDefault="00337944" w:rsidP="00AD106A">
            <w:pPr>
              <w:jc w:val="both"/>
            </w:pPr>
            <w:r>
              <w:t>a) Grado de bachiller y título de licenciado. Aquellas ESFA incorporadas en la tercera disposición complementaria final de la ley universitaria están facultadas para otorgar el grado de bachiller y título de licenciado a aquellos estudiantes que logren completar los doscientos (200) créditos.</w:t>
            </w:r>
          </w:p>
          <w:p w14:paraId="0C649058" w14:textId="090246A1" w:rsidR="00337944" w:rsidRDefault="00337944" w:rsidP="00AD106A">
            <w:pPr>
              <w:jc w:val="both"/>
            </w:pPr>
          </w:p>
          <w:p w14:paraId="375C4CFB" w14:textId="3BAD57B0" w:rsidR="00337944" w:rsidRDefault="00337944" w:rsidP="00AD106A">
            <w:pPr>
              <w:jc w:val="both"/>
            </w:pPr>
            <w:r>
              <w:t>b) Título de profesor y artista profesional. La referida titulación es otorgada por las ESFAS no incorporadas en la ley universitaria</w:t>
            </w:r>
            <w:r w:rsidR="006E3963">
              <w:t xml:space="preserve"> (Norma </w:t>
            </w:r>
            <w:r w:rsidR="002B2068">
              <w:t>3</w:t>
            </w:r>
            <w:r>
              <w:t>)</w:t>
            </w:r>
          </w:p>
          <w:p w14:paraId="30838B25" w14:textId="77777777" w:rsidR="00C65B71" w:rsidRDefault="00C65B71" w:rsidP="002F4A30"/>
          <w:p w14:paraId="2C70D392" w14:textId="46BB8621" w:rsidR="00002FFB" w:rsidRDefault="00F95B43" w:rsidP="00190BF5">
            <w:pPr>
              <w:rPr>
                <w:b/>
              </w:rPr>
            </w:pPr>
            <w:r w:rsidRPr="00C65B71">
              <w:rPr>
                <w:b/>
              </w:rPr>
              <w:t xml:space="preserve">Norma </w:t>
            </w:r>
            <w:r w:rsidR="00B72BD7" w:rsidRPr="00C65B71">
              <w:rPr>
                <w:b/>
              </w:rPr>
              <w:t>Legal</w:t>
            </w:r>
            <w:r w:rsidRPr="00C65B71">
              <w:rPr>
                <w:b/>
              </w:rPr>
              <w:t>:</w:t>
            </w:r>
          </w:p>
          <w:p w14:paraId="161867FB" w14:textId="5C6051EB" w:rsidR="00337944" w:rsidRDefault="00337944" w:rsidP="00190BF5">
            <w:pPr>
              <w:rPr>
                <w:b/>
              </w:rPr>
            </w:pPr>
          </w:p>
          <w:p w14:paraId="5E482BA2" w14:textId="7B8172D5" w:rsidR="001D5FE1" w:rsidRPr="00C65B71" w:rsidRDefault="001D5FE1" w:rsidP="001D5FE1">
            <w:r w:rsidRPr="00C65B71">
              <w:t>(</w:t>
            </w:r>
            <w:r w:rsidR="006E3963">
              <w:t xml:space="preserve">Norma </w:t>
            </w:r>
            <w:r w:rsidR="002B2068">
              <w:t>3</w:t>
            </w:r>
            <w:r w:rsidRPr="00C65B71">
              <w:t xml:space="preserve">) Tercera Disposición Complementaria Final de la Ley </w:t>
            </w:r>
            <w:proofErr w:type="spellStart"/>
            <w:r w:rsidRPr="00C65B71">
              <w:t>N°</w:t>
            </w:r>
            <w:proofErr w:type="spellEnd"/>
            <w:r w:rsidRPr="00C65B71">
              <w:t xml:space="preserve"> 30220, Ley Universitaria</w:t>
            </w:r>
          </w:p>
          <w:p w14:paraId="24B361D7" w14:textId="74CED16A" w:rsidR="00197F7E" w:rsidRPr="00C65B71" w:rsidRDefault="001D5FE1" w:rsidP="001D5FE1">
            <w:pPr>
              <w:rPr>
                <w:lang w:val="en-US"/>
              </w:rPr>
            </w:pPr>
            <w:r w:rsidRPr="00C65B71">
              <w:rPr>
                <w:lang w:val="en-US"/>
              </w:rPr>
              <w:t>LIN</w:t>
            </w:r>
            <w:r w:rsidR="006E3963">
              <w:rPr>
                <w:lang w:val="en-US"/>
              </w:rPr>
              <w:t>K</w:t>
            </w:r>
            <w:r w:rsidRPr="00C65B71">
              <w:rPr>
                <w:lang w:val="en-US"/>
              </w:rPr>
              <w:t xml:space="preserve">: </w:t>
            </w:r>
            <w:r w:rsidRPr="002F4A30">
              <w:rPr>
                <w:color w:val="0070C0"/>
                <w:u w:val="single"/>
                <w:lang w:val="en-US"/>
              </w:rPr>
              <w:t>https://www.sunedu.gob.pe/wp-content/uploads/2017/04/Ley-universitaria-30220.pdf</w:t>
            </w:r>
          </w:p>
          <w:p w14:paraId="6CCECABE" w14:textId="77777777" w:rsidR="000B2B9A" w:rsidRPr="007F2000" w:rsidRDefault="000B2B9A" w:rsidP="001D5FE1">
            <w:pPr>
              <w:rPr>
                <w:lang w:val="en-US"/>
              </w:rPr>
            </w:pPr>
          </w:p>
          <w:p w14:paraId="214479A3" w14:textId="77777777" w:rsidR="005B4C21" w:rsidRPr="007F2000" w:rsidRDefault="005B4C21" w:rsidP="00057AB6">
            <w:pPr>
              <w:rPr>
                <w:sz w:val="12"/>
                <w:lang w:val="en-US"/>
              </w:rPr>
            </w:pPr>
          </w:p>
        </w:tc>
      </w:tr>
      <w:tr w:rsidR="00057AB6" w:rsidRPr="007F2000" w14:paraId="08632259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  <w:shd w:val="clear" w:color="auto" w:fill="000000" w:themeFill="text1"/>
          </w:tcPr>
          <w:p w14:paraId="7155EC9C" w14:textId="77777777" w:rsidR="00002FFB" w:rsidRPr="007F2000" w:rsidRDefault="00F95B43" w:rsidP="00057AB6">
            <w:r w:rsidRPr="007F2000">
              <w:rPr>
                <w:b/>
              </w:rPr>
              <w:lastRenderedPageBreak/>
              <w:t>Estándares de Calidad</w:t>
            </w:r>
            <w:r w:rsidRPr="007F2000">
              <w:rPr>
                <w:rStyle w:val="Refdenotaalpie"/>
                <w:b/>
              </w:rPr>
              <w:footnoteReference w:id="2"/>
            </w:r>
          </w:p>
        </w:tc>
      </w:tr>
      <w:tr w:rsidR="00002FFB" w:rsidRPr="002F4A30" w14:paraId="094E85F5" w14:textId="77777777" w:rsidTr="00F16EA2">
        <w:trPr>
          <w:trHeight w:val="260"/>
        </w:trPr>
        <w:tc>
          <w:tcPr>
            <w:tcW w:w="8529" w:type="dxa"/>
            <w:tcBorders>
              <w:left w:val="single" w:sz="4" w:space="0" w:color="auto"/>
            </w:tcBorders>
          </w:tcPr>
          <w:p w14:paraId="64874914" w14:textId="54D96829" w:rsidR="00EA5E5C" w:rsidRDefault="00EA5E5C" w:rsidP="00B72BD7">
            <w:pPr>
              <w:rPr>
                <w:b/>
              </w:rPr>
            </w:pPr>
          </w:p>
          <w:p w14:paraId="5E29659B" w14:textId="42417737" w:rsidR="00002FFB" w:rsidRPr="007F2000" w:rsidRDefault="00F95B43" w:rsidP="00B72BD7">
            <w:r w:rsidRPr="007F2000">
              <w:rPr>
                <w:b/>
              </w:rPr>
              <w:t>Descripción</w:t>
            </w:r>
            <w:r w:rsidRPr="007F2000">
              <w:t>:</w:t>
            </w:r>
          </w:p>
          <w:p w14:paraId="22B1C707" w14:textId="5265E7B5" w:rsidR="006113CA" w:rsidRPr="001D5FE1" w:rsidRDefault="006113CA" w:rsidP="001D5FE1">
            <w:pPr>
              <w:jc w:val="both"/>
            </w:pPr>
          </w:p>
          <w:p w14:paraId="2A71C57E" w14:textId="3E9A21E0" w:rsidR="001D5FE1" w:rsidRDefault="001D5FE1" w:rsidP="001D5FE1">
            <w:pPr>
              <w:jc w:val="both"/>
            </w:pPr>
            <w:r w:rsidRPr="001D5FE1">
              <w:t xml:space="preserve">A continuación, se presenta la descripción de los siguientes estándares de calidad identificados en el marco del </w:t>
            </w:r>
            <w:r w:rsidR="00726A7E" w:rsidRPr="00726A7E">
              <w:t>Sistema Nacional de Programación Multianual y Gestión de Inversiones</w:t>
            </w:r>
            <w:r w:rsidRPr="001D5FE1">
              <w:t xml:space="preserve"> </w:t>
            </w:r>
            <w:r w:rsidR="00E63D90">
              <w:t xml:space="preserve">(SNPMGI) </w:t>
            </w:r>
            <w:r w:rsidRPr="001D5FE1">
              <w:t>para el servicio de Educación Superior Artística:</w:t>
            </w:r>
          </w:p>
          <w:p w14:paraId="69B2336F" w14:textId="77777777" w:rsidR="001D5FE1" w:rsidRPr="001D5FE1" w:rsidRDefault="001D5FE1" w:rsidP="001D5FE1">
            <w:pPr>
              <w:jc w:val="both"/>
            </w:pPr>
          </w:p>
          <w:p w14:paraId="746C2028" w14:textId="59A54A56" w:rsidR="001D5FE1" w:rsidRPr="001D5FE1" w:rsidRDefault="001D5FE1" w:rsidP="001D5FE1">
            <w:pPr>
              <w:jc w:val="both"/>
              <w:rPr>
                <w:b/>
              </w:rPr>
            </w:pPr>
            <w:r w:rsidRPr="001D5FE1">
              <w:rPr>
                <w:b/>
              </w:rPr>
              <w:t xml:space="preserve">i. Reglamento Nacional de Edificaciones y sus modificatorias– RNE (Norma </w:t>
            </w:r>
            <w:r w:rsidR="002B2068">
              <w:rPr>
                <w:b/>
              </w:rPr>
              <w:t>4</w:t>
            </w:r>
            <w:r w:rsidRPr="001D5FE1">
              <w:rPr>
                <w:b/>
              </w:rPr>
              <w:t>)</w:t>
            </w:r>
          </w:p>
          <w:p w14:paraId="731AA1E1" w14:textId="77777777" w:rsidR="001D5FE1" w:rsidRPr="001D5FE1" w:rsidRDefault="001D5FE1" w:rsidP="001D5FE1">
            <w:pPr>
              <w:jc w:val="both"/>
            </w:pPr>
          </w:p>
          <w:p w14:paraId="5FC11E9C" w14:textId="77777777" w:rsidR="001D5FE1" w:rsidRPr="001D5FE1" w:rsidRDefault="001D5FE1" w:rsidP="001D5FE1">
            <w:pPr>
              <w:jc w:val="both"/>
            </w:pPr>
            <w:r w:rsidRPr="001D5FE1">
              <w:t>El Reglamento Nacional de Edificaciones tiene por objetivo normar los criterios y requisitos mínimos para el diseño y ejecución de las habilitaciones urbanas y las edificaciones, permitiendo de esta manera una mejor ejecución de los planes urbanos.</w:t>
            </w:r>
          </w:p>
          <w:p w14:paraId="0EC039D7" w14:textId="77777777" w:rsidR="001D5FE1" w:rsidRPr="001D5FE1" w:rsidRDefault="001D5FE1" w:rsidP="001D5FE1">
            <w:pPr>
              <w:jc w:val="both"/>
            </w:pPr>
          </w:p>
          <w:p w14:paraId="7F77A78C" w14:textId="67002D5E" w:rsidR="001D5FE1" w:rsidRPr="001D5FE1" w:rsidRDefault="001D5FE1" w:rsidP="001D5FE1">
            <w:pPr>
              <w:jc w:val="both"/>
              <w:rPr>
                <w:b/>
              </w:rPr>
            </w:pPr>
            <w:proofErr w:type="spellStart"/>
            <w:r w:rsidRPr="001D5FE1">
              <w:rPr>
                <w:b/>
              </w:rPr>
              <w:t>ii</w:t>
            </w:r>
            <w:proofErr w:type="spellEnd"/>
            <w:r w:rsidRPr="001D5FE1">
              <w:rPr>
                <w:b/>
              </w:rPr>
              <w:t xml:space="preserve">. Norma Técnica de Criterios Generales de Diseño para Infraestructura Educativa (Norma </w:t>
            </w:r>
            <w:r w:rsidR="002B2068">
              <w:rPr>
                <w:b/>
              </w:rPr>
              <w:t>5</w:t>
            </w:r>
            <w:r w:rsidRPr="001D5FE1">
              <w:rPr>
                <w:b/>
              </w:rPr>
              <w:t>)</w:t>
            </w:r>
          </w:p>
          <w:p w14:paraId="2C6399C6" w14:textId="77777777" w:rsidR="001D5FE1" w:rsidRPr="001D5FE1" w:rsidRDefault="001D5FE1" w:rsidP="001D5FE1">
            <w:pPr>
              <w:jc w:val="both"/>
            </w:pPr>
          </w:p>
          <w:p w14:paraId="040F1AC6" w14:textId="77777777" w:rsidR="001D5FE1" w:rsidRPr="001D5FE1" w:rsidRDefault="001D5FE1" w:rsidP="001D5FE1">
            <w:pPr>
              <w:jc w:val="both"/>
            </w:pPr>
            <w:r w:rsidRPr="001D5FE1">
              <w:t xml:space="preserve">La presente norma tiene como objetivo establecer disposiciones generales para uniformizar conceptos y establecer principios y criterios de análisis, diagnostico e identificación para todo </w:t>
            </w:r>
            <w:r w:rsidRPr="001D5FE1">
              <w:lastRenderedPageBreak/>
              <w:t>el proceso de diseño de la infraestructura educativa. Algunos de los puntos que se desarrollan en esta norma son:</w:t>
            </w:r>
          </w:p>
          <w:p w14:paraId="5282C93D" w14:textId="77777777" w:rsidR="001D5FE1" w:rsidRPr="001D5FE1" w:rsidRDefault="001D5FE1" w:rsidP="001D5FE1">
            <w:pPr>
              <w:jc w:val="both"/>
            </w:pPr>
          </w:p>
          <w:p w14:paraId="7E6F028C" w14:textId="77777777" w:rsidR="001D5FE1" w:rsidRPr="001D5FE1" w:rsidRDefault="001D5FE1" w:rsidP="001D5FE1">
            <w:pPr>
              <w:jc w:val="both"/>
            </w:pPr>
            <w:r w:rsidRPr="001D5FE1">
              <w:t>• Análisis territorial</w:t>
            </w:r>
          </w:p>
          <w:p w14:paraId="03C1A974" w14:textId="77777777" w:rsidR="001D5FE1" w:rsidRPr="001D5FE1" w:rsidRDefault="001D5FE1" w:rsidP="001D5FE1">
            <w:pPr>
              <w:jc w:val="both"/>
            </w:pPr>
            <w:r w:rsidRPr="001D5FE1">
              <w:t>• Condiciones del terreno</w:t>
            </w:r>
          </w:p>
          <w:p w14:paraId="378E6C88" w14:textId="77777777" w:rsidR="001D5FE1" w:rsidRPr="001D5FE1" w:rsidRDefault="001D5FE1" w:rsidP="001D5FE1">
            <w:pPr>
              <w:jc w:val="both"/>
            </w:pPr>
            <w:r w:rsidRPr="001D5FE1">
              <w:t>• Elaboración de los estudios básicos</w:t>
            </w:r>
          </w:p>
          <w:p w14:paraId="6DE66962" w14:textId="77777777" w:rsidR="001D5FE1" w:rsidRPr="001D5FE1" w:rsidRDefault="001D5FE1" w:rsidP="001D5FE1">
            <w:pPr>
              <w:jc w:val="both"/>
            </w:pPr>
            <w:r w:rsidRPr="001D5FE1">
              <w:t>• Estado de la infraestructura educativa existente</w:t>
            </w:r>
          </w:p>
          <w:p w14:paraId="3B65B57C" w14:textId="77777777" w:rsidR="001D5FE1" w:rsidRPr="001D5FE1" w:rsidRDefault="001D5FE1" w:rsidP="001D5FE1">
            <w:pPr>
              <w:jc w:val="both"/>
            </w:pPr>
            <w:r w:rsidRPr="001D5FE1">
              <w:t>• Criterios para el diseño arquitectónico</w:t>
            </w:r>
          </w:p>
          <w:p w14:paraId="47F02AA4" w14:textId="77777777" w:rsidR="001D5FE1" w:rsidRPr="001D5FE1" w:rsidRDefault="001D5FE1" w:rsidP="001D5FE1">
            <w:pPr>
              <w:jc w:val="both"/>
            </w:pPr>
            <w:r w:rsidRPr="001D5FE1">
              <w:t>• Criterios para el diseño estructural, entre otros.</w:t>
            </w:r>
          </w:p>
          <w:p w14:paraId="3AF4CB5A" w14:textId="77777777" w:rsidR="000B2B9A" w:rsidRPr="007F2000" w:rsidRDefault="000B2B9A" w:rsidP="00057AB6"/>
          <w:p w14:paraId="133C1640" w14:textId="4E045F7E" w:rsidR="00002FFB" w:rsidRPr="007F2000" w:rsidRDefault="00B72BD7" w:rsidP="00B72BD7">
            <w:r w:rsidRPr="007F2000">
              <w:rPr>
                <w:b/>
              </w:rPr>
              <w:t>Norma Legal</w:t>
            </w:r>
            <w:r w:rsidR="00F95B43" w:rsidRPr="007F2000">
              <w:rPr>
                <w:b/>
              </w:rPr>
              <w:t>:</w:t>
            </w:r>
          </w:p>
          <w:p w14:paraId="032E5AB6" w14:textId="77777777" w:rsidR="00002FFB" w:rsidRPr="001D5FE1" w:rsidRDefault="00002FFB" w:rsidP="001D5FE1">
            <w:pPr>
              <w:rPr>
                <w:sz w:val="18"/>
              </w:rPr>
            </w:pPr>
          </w:p>
          <w:p w14:paraId="5531B534" w14:textId="083C134A" w:rsidR="001D5FE1" w:rsidRDefault="001D5FE1" w:rsidP="001D5FE1">
            <w:pPr>
              <w:jc w:val="both"/>
            </w:pPr>
            <w:r>
              <w:t>(</w:t>
            </w:r>
            <w:r w:rsidR="0072578E">
              <w:t xml:space="preserve">Norma </w:t>
            </w:r>
            <w:r w:rsidR="002B2068">
              <w:t>4</w:t>
            </w:r>
            <w:r>
              <w:t xml:space="preserve">) Normas Técnicas del Reglamento Nacional de Edificaciones – RNE, aprobada con Decreto Supremo </w:t>
            </w:r>
            <w:proofErr w:type="spellStart"/>
            <w:r>
              <w:t>N°</w:t>
            </w:r>
            <w:proofErr w:type="spellEnd"/>
            <w:r>
              <w:t xml:space="preserve"> 011-2006-Vivienda</w:t>
            </w:r>
            <w:r w:rsidR="00E63D90">
              <w:t xml:space="preserve"> y sus modificatorias.</w:t>
            </w:r>
          </w:p>
          <w:p w14:paraId="6F017038" w14:textId="07D40340" w:rsidR="001D5FE1" w:rsidRPr="001D5FE1" w:rsidRDefault="001D5FE1" w:rsidP="001D5FE1">
            <w:pPr>
              <w:jc w:val="both"/>
              <w:rPr>
                <w:lang w:val="en-AU"/>
              </w:rPr>
            </w:pPr>
            <w:r w:rsidRPr="001D5FE1">
              <w:rPr>
                <w:lang w:val="en-AU"/>
              </w:rPr>
              <w:t xml:space="preserve">LINK: </w:t>
            </w:r>
            <w:r w:rsidRPr="002F4A30">
              <w:rPr>
                <w:color w:val="0070C0"/>
                <w:u w:val="single"/>
                <w:lang w:val="en-AU"/>
              </w:rPr>
              <w:t>http://www.construccion.org/normas/rne2012/rne2006.htm</w:t>
            </w:r>
          </w:p>
          <w:p w14:paraId="253AF680" w14:textId="77777777" w:rsidR="001D5FE1" w:rsidRPr="001D5FE1" w:rsidRDefault="001D5FE1" w:rsidP="001D5FE1">
            <w:pPr>
              <w:jc w:val="both"/>
              <w:rPr>
                <w:lang w:val="en-AU"/>
              </w:rPr>
            </w:pPr>
          </w:p>
          <w:p w14:paraId="550CE087" w14:textId="7B87CA16" w:rsidR="009F1997" w:rsidRPr="00326B61" w:rsidRDefault="009F1997" w:rsidP="001D5FE1">
            <w:pPr>
              <w:jc w:val="both"/>
            </w:pPr>
            <w:r w:rsidRPr="00326B61">
              <w:t xml:space="preserve">(Norma </w:t>
            </w:r>
            <w:r w:rsidR="002B2068">
              <w:t>5</w:t>
            </w:r>
            <w:r w:rsidRPr="00326B61">
              <w:t xml:space="preserve">) Norma Técnica </w:t>
            </w:r>
            <w:r w:rsidRPr="00326B61">
              <w:rPr>
                <w:color w:val="0070C0"/>
              </w:rPr>
              <w:t>“</w:t>
            </w:r>
            <w:r w:rsidR="00F16EA2" w:rsidRPr="00326B61">
              <w:t>Criterios Generales de Diseño para Infraestructura Educativa</w:t>
            </w:r>
            <w:r w:rsidRPr="00326B61">
              <w:t xml:space="preserve">” aprobada con Resolución Viceministerial </w:t>
            </w:r>
            <w:proofErr w:type="spellStart"/>
            <w:r w:rsidRPr="00326B61">
              <w:t>Nº</w:t>
            </w:r>
            <w:proofErr w:type="spellEnd"/>
            <w:r w:rsidRPr="00326B61">
              <w:t xml:space="preserve"> 0</w:t>
            </w:r>
            <w:r w:rsidR="00F16EA2" w:rsidRPr="00326B61">
              <w:t>10</w:t>
            </w:r>
            <w:r w:rsidRPr="00326B61">
              <w:t>-</w:t>
            </w:r>
            <w:r w:rsidR="00F16EA2" w:rsidRPr="00326B61">
              <w:t>2022</w:t>
            </w:r>
            <w:r w:rsidRPr="00326B61">
              <w:t>-MINEDU el 2</w:t>
            </w:r>
            <w:r w:rsidR="00F16EA2" w:rsidRPr="00326B61">
              <w:t>5</w:t>
            </w:r>
            <w:r w:rsidRPr="00326B61">
              <w:t xml:space="preserve"> de </w:t>
            </w:r>
            <w:r w:rsidR="00F16EA2" w:rsidRPr="00326B61">
              <w:t>enero</w:t>
            </w:r>
            <w:r w:rsidRPr="00326B61">
              <w:t xml:space="preserve"> del 20</w:t>
            </w:r>
            <w:r w:rsidR="00F16EA2" w:rsidRPr="00326B61">
              <w:t>22</w:t>
            </w:r>
            <w:r w:rsidRPr="00326B61">
              <w:t>.</w:t>
            </w:r>
          </w:p>
          <w:p w14:paraId="5DDC9EFC" w14:textId="4C9F5BE1" w:rsidR="001D5FE1" w:rsidRPr="001D5FE1" w:rsidRDefault="009F1997" w:rsidP="00EA5E5C">
            <w:pPr>
              <w:jc w:val="both"/>
              <w:rPr>
                <w:lang w:val="en-AU"/>
              </w:rPr>
            </w:pPr>
            <w:r w:rsidRPr="00326B61">
              <w:rPr>
                <w:lang w:val="en-AU"/>
              </w:rPr>
              <w:t xml:space="preserve">Link: </w:t>
            </w:r>
            <w:r w:rsidR="004574E5" w:rsidRPr="00326B61">
              <w:rPr>
                <w:rStyle w:val="Hipervnculo"/>
                <w:lang w:val="en-AU"/>
              </w:rPr>
              <w:t>http://www.minedu.gob.pe/p/pdf/rvm-n-010-2022-minedu.pdf</w:t>
            </w:r>
          </w:p>
          <w:p w14:paraId="19025966" w14:textId="77777777" w:rsidR="001D5FE1" w:rsidRDefault="001D5FE1" w:rsidP="00EA5E5C">
            <w:pPr>
              <w:jc w:val="both"/>
              <w:rPr>
                <w:lang w:val="en-AU"/>
              </w:rPr>
            </w:pPr>
          </w:p>
          <w:p w14:paraId="0A2C62FE" w14:textId="77777777" w:rsidR="00726A7E" w:rsidRDefault="00726A7E" w:rsidP="00726A7E">
            <w:pPr>
              <w:jc w:val="both"/>
            </w:pPr>
            <w:r>
              <w:t>La OPMI del Sector Educación puede identificar como estándar de calidad otras normas que considere pertinentes.</w:t>
            </w:r>
          </w:p>
          <w:p w14:paraId="7643277B" w14:textId="1AE68829" w:rsidR="00726A7E" w:rsidRPr="001D5FE1" w:rsidRDefault="00726A7E" w:rsidP="00EA5E5C">
            <w:pPr>
              <w:jc w:val="both"/>
              <w:rPr>
                <w:lang w:val="en-AU"/>
              </w:rPr>
            </w:pPr>
          </w:p>
        </w:tc>
      </w:tr>
      <w:tr w:rsidR="00F16EA2" w:rsidRPr="002F4A30" w14:paraId="7CD74294" w14:textId="77777777">
        <w:trPr>
          <w:trHeight w:val="260"/>
        </w:trPr>
        <w:tc>
          <w:tcPr>
            <w:tcW w:w="8529" w:type="dxa"/>
            <w:tcBorders>
              <w:left w:val="single" w:sz="4" w:space="0" w:color="auto"/>
              <w:bottom w:val="single" w:sz="4" w:space="0" w:color="auto"/>
            </w:tcBorders>
          </w:tcPr>
          <w:p w14:paraId="43A06F36" w14:textId="77777777" w:rsidR="00F16EA2" w:rsidRDefault="00F16EA2" w:rsidP="00B72BD7">
            <w:pPr>
              <w:rPr>
                <w:b/>
              </w:rPr>
            </w:pPr>
          </w:p>
        </w:tc>
      </w:tr>
    </w:tbl>
    <w:p w14:paraId="2475CD9D" w14:textId="77777777" w:rsidR="00002FFB" w:rsidRPr="001D5FE1" w:rsidRDefault="00002FFB" w:rsidP="00057AB6">
      <w:pPr>
        <w:spacing w:after="0" w:line="240" w:lineRule="auto"/>
        <w:rPr>
          <w:lang w:val="en-AU"/>
        </w:rPr>
      </w:pPr>
    </w:p>
    <w:sectPr w:rsidR="00002FFB" w:rsidRPr="001D5FE1" w:rsidSect="005C4F7E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7600" w14:textId="77777777" w:rsidR="00F83405" w:rsidRDefault="00F83405">
      <w:pPr>
        <w:spacing w:after="0" w:line="240" w:lineRule="auto"/>
      </w:pPr>
      <w:r>
        <w:separator/>
      </w:r>
    </w:p>
  </w:endnote>
  <w:endnote w:type="continuationSeparator" w:id="0">
    <w:p w14:paraId="0D60FEFA" w14:textId="77777777" w:rsidR="00F83405" w:rsidRDefault="00F8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AB36" w14:textId="77777777" w:rsidR="00F83405" w:rsidRDefault="00F83405">
      <w:pPr>
        <w:spacing w:after="0" w:line="240" w:lineRule="auto"/>
      </w:pPr>
      <w:r>
        <w:separator/>
      </w:r>
    </w:p>
  </w:footnote>
  <w:footnote w:type="continuationSeparator" w:id="0">
    <w:p w14:paraId="5738ACE0" w14:textId="77777777" w:rsidR="00F83405" w:rsidRDefault="00F83405">
      <w:pPr>
        <w:spacing w:after="0" w:line="240" w:lineRule="auto"/>
      </w:pPr>
      <w:r>
        <w:continuationSeparator/>
      </w:r>
    </w:p>
  </w:footnote>
  <w:footnote w:id="1">
    <w:p w14:paraId="1B670535" w14:textId="4776718E" w:rsidR="00002FFB" w:rsidRPr="002078C9" w:rsidRDefault="00F95B43" w:rsidP="00B72BD7">
      <w:pPr>
        <w:pStyle w:val="Textonotapie"/>
        <w:jc w:val="both"/>
        <w:rPr>
          <w:strike/>
        </w:rPr>
      </w:pPr>
      <w:r>
        <w:rPr>
          <w:rStyle w:val="Refdenotaalpie"/>
        </w:rPr>
        <w:footnoteRef/>
      </w:r>
      <w:r>
        <w:t xml:space="preserve"> </w:t>
      </w:r>
      <w:r w:rsidR="00B72BD7" w:rsidRPr="00B72BD7">
        <w:t>De no existir norma legal o técnica peruana indicar una norma internacional</w:t>
      </w:r>
      <w:r w:rsidR="00B72BD7">
        <w:t xml:space="preserve"> de referencia, de corresponder</w:t>
      </w:r>
      <w:r>
        <w:t>.</w:t>
      </w:r>
    </w:p>
  </w:footnote>
  <w:footnote w:id="2">
    <w:p w14:paraId="5A3F8A42" w14:textId="77777777" w:rsidR="00002FFB" w:rsidRDefault="00F95B43">
      <w:pPr>
        <w:pStyle w:val="Textonotapie"/>
      </w:pPr>
      <w:r w:rsidRPr="004739FB">
        <w:rPr>
          <w:rStyle w:val="Refdenotaalpie"/>
        </w:rPr>
        <w:footnoteRef/>
      </w:r>
      <w:r w:rsidRPr="004739FB">
        <w:t xml:space="preserve"> De</w:t>
      </w:r>
      <w:r w:rsidR="004739FB" w:rsidRPr="004739FB">
        <w:t xml:space="preserve"> </w:t>
      </w:r>
      <w:r w:rsidRPr="004739FB">
        <w:t>no existir norma legal o técnica peruana indicar una norma internacional de referencia.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723"/>
    <w:multiLevelType w:val="hybridMultilevel"/>
    <w:tmpl w:val="1F8245DE"/>
    <w:lvl w:ilvl="0" w:tplc="AF54DA4E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59969EF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93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95A"/>
    <w:multiLevelType w:val="hybridMultilevel"/>
    <w:tmpl w:val="69462526"/>
    <w:lvl w:ilvl="0" w:tplc="280A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1B8F03CA"/>
    <w:multiLevelType w:val="hybridMultilevel"/>
    <w:tmpl w:val="2506BC3A"/>
    <w:lvl w:ilvl="0" w:tplc="28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5" w15:restartNumberingAfterBreak="0">
    <w:nsid w:val="1D335822"/>
    <w:multiLevelType w:val="hybridMultilevel"/>
    <w:tmpl w:val="95266E20"/>
    <w:lvl w:ilvl="0" w:tplc="C018EB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0F62"/>
    <w:multiLevelType w:val="hybridMultilevel"/>
    <w:tmpl w:val="DE784DE6"/>
    <w:lvl w:ilvl="0" w:tplc="EF36A0F8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13941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27FF21B2"/>
    <w:multiLevelType w:val="hybridMultilevel"/>
    <w:tmpl w:val="B524D3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0178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16917"/>
    <w:multiLevelType w:val="hybridMultilevel"/>
    <w:tmpl w:val="B8ECDA9C"/>
    <w:lvl w:ilvl="0" w:tplc="F24AC3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1D15B9"/>
    <w:multiLevelType w:val="hybridMultilevel"/>
    <w:tmpl w:val="53ECFF22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2D014BF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D5248"/>
    <w:multiLevelType w:val="hybridMultilevel"/>
    <w:tmpl w:val="C25CF88E"/>
    <w:lvl w:ilvl="0" w:tplc="94E2462A">
      <w:start w:val="1"/>
      <w:numFmt w:val="lowerRoman"/>
      <w:lvlText w:val="%1."/>
      <w:lvlJc w:val="right"/>
      <w:pPr>
        <w:ind w:left="1033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53" w:hanging="360"/>
      </w:pPr>
    </w:lvl>
    <w:lvl w:ilvl="2" w:tplc="280A001B" w:tentative="1">
      <w:start w:val="1"/>
      <w:numFmt w:val="lowerRoman"/>
      <w:lvlText w:val="%3."/>
      <w:lvlJc w:val="right"/>
      <w:pPr>
        <w:ind w:left="2473" w:hanging="180"/>
      </w:pPr>
    </w:lvl>
    <w:lvl w:ilvl="3" w:tplc="280A000F" w:tentative="1">
      <w:start w:val="1"/>
      <w:numFmt w:val="decimal"/>
      <w:lvlText w:val="%4."/>
      <w:lvlJc w:val="left"/>
      <w:pPr>
        <w:ind w:left="3193" w:hanging="360"/>
      </w:pPr>
    </w:lvl>
    <w:lvl w:ilvl="4" w:tplc="280A0019" w:tentative="1">
      <w:start w:val="1"/>
      <w:numFmt w:val="lowerLetter"/>
      <w:lvlText w:val="%5."/>
      <w:lvlJc w:val="left"/>
      <w:pPr>
        <w:ind w:left="3913" w:hanging="360"/>
      </w:pPr>
    </w:lvl>
    <w:lvl w:ilvl="5" w:tplc="280A001B" w:tentative="1">
      <w:start w:val="1"/>
      <w:numFmt w:val="lowerRoman"/>
      <w:lvlText w:val="%6."/>
      <w:lvlJc w:val="right"/>
      <w:pPr>
        <w:ind w:left="4633" w:hanging="180"/>
      </w:pPr>
    </w:lvl>
    <w:lvl w:ilvl="6" w:tplc="280A000F" w:tentative="1">
      <w:start w:val="1"/>
      <w:numFmt w:val="decimal"/>
      <w:lvlText w:val="%7."/>
      <w:lvlJc w:val="left"/>
      <w:pPr>
        <w:ind w:left="5353" w:hanging="360"/>
      </w:pPr>
    </w:lvl>
    <w:lvl w:ilvl="7" w:tplc="280A0019" w:tentative="1">
      <w:start w:val="1"/>
      <w:numFmt w:val="lowerLetter"/>
      <w:lvlText w:val="%8."/>
      <w:lvlJc w:val="left"/>
      <w:pPr>
        <w:ind w:left="6073" w:hanging="360"/>
      </w:pPr>
    </w:lvl>
    <w:lvl w:ilvl="8" w:tplc="2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4" w15:restartNumberingAfterBreak="0">
    <w:nsid w:val="43282407"/>
    <w:multiLevelType w:val="hybridMultilevel"/>
    <w:tmpl w:val="B48864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1579D"/>
    <w:multiLevelType w:val="hybridMultilevel"/>
    <w:tmpl w:val="DA429268"/>
    <w:lvl w:ilvl="0" w:tplc="1A6C2316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F50BF"/>
    <w:multiLevelType w:val="hybridMultilevel"/>
    <w:tmpl w:val="D4E4ACC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4B0A10E7"/>
    <w:multiLevelType w:val="hybridMultilevel"/>
    <w:tmpl w:val="A33E0260"/>
    <w:lvl w:ilvl="0" w:tplc="4D3C6628">
      <w:start w:val="1"/>
      <w:numFmt w:val="decimal"/>
      <w:lvlText w:val="(%1)"/>
      <w:lvlJc w:val="left"/>
      <w:pPr>
        <w:ind w:left="673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4C4C44D8"/>
    <w:multiLevelType w:val="hybridMultilevel"/>
    <w:tmpl w:val="A70E772E"/>
    <w:lvl w:ilvl="0" w:tplc="92E022B4">
      <w:start w:val="5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B5C76"/>
    <w:multiLevelType w:val="hybridMultilevel"/>
    <w:tmpl w:val="0F162430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4E90400B"/>
    <w:multiLevelType w:val="hybridMultilevel"/>
    <w:tmpl w:val="3482DE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D4DEF"/>
    <w:multiLevelType w:val="hybridMultilevel"/>
    <w:tmpl w:val="178A78B2"/>
    <w:lvl w:ilvl="0" w:tplc="280A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22" w15:restartNumberingAfterBreak="0">
    <w:nsid w:val="5C2E1E5A"/>
    <w:multiLevelType w:val="multilevel"/>
    <w:tmpl w:val="A170B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9C0EA9"/>
    <w:multiLevelType w:val="hybridMultilevel"/>
    <w:tmpl w:val="504869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411"/>
    <w:multiLevelType w:val="hybridMultilevel"/>
    <w:tmpl w:val="6F92A432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672416D5"/>
    <w:multiLevelType w:val="hybridMultilevel"/>
    <w:tmpl w:val="3586A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6C99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6447"/>
    <w:multiLevelType w:val="hybridMultilevel"/>
    <w:tmpl w:val="8D1AA234"/>
    <w:lvl w:ilvl="0" w:tplc="C3DC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84D0F"/>
    <w:multiLevelType w:val="hybridMultilevel"/>
    <w:tmpl w:val="4CF0EE64"/>
    <w:lvl w:ilvl="0" w:tplc="3DB6F9FE">
      <w:start w:val="1"/>
      <w:numFmt w:val="decimal"/>
      <w:lvlText w:val="(%1)"/>
      <w:lvlJc w:val="left"/>
      <w:pPr>
        <w:ind w:left="673" w:hanging="360"/>
      </w:pPr>
      <w:rPr>
        <w:rFonts w:hint="default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393" w:hanging="360"/>
      </w:pPr>
    </w:lvl>
    <w:lvl w:ilvl="2" w:tplc="280A001B" w:tentative="1">
      <w:start w:val="1"/>
      <w:numFmt w:val="lowerRoman"/>
      <w:lvlText w:val="%3."/>
      <w:lvlJc w:val="right"/>
      <w:pPr>
        <w:ind w:left="2113" w:hanging="180"/>
      </w:pPr>
    </w:lvl>
    <w:lvl w:ilvl="3" w:tplc="280A000F" w:tentative="1">
      <w:start w:val="1"/>
      <w:numFmt w:val="decimal"/>
      <w:lvlText w:val="%4."/>
      <w:lvlJc w:val="left"/>
      <w:pPr>
        <w:ind w:left="2833" w:hanging="360"/>
      </w:pPr>
    </w:lvl>
    <w:lvl w:ilvl="4" w:tplc="280A0019" w:tentative="1">
      <w:start w:val="1"/>
      <w:numFmt w:val="lowerLetter"/>
      <w:lvlText w:val="%5."/>
      <w:lvlJc w:val="left"/>
      <w:pPr>
        <w:ind w:left="3553" w:hanging="360"/>
      </w:pPr>
    </w:lvl>
    <w:lvl w:ilvl="5" w:tplc="280A001B" w:tentative="1">
      <w:start w:val="1"/>
      <w:numFmt w:val="lowerRoman"/>
      <w:lvlText w:val="%6."/>
      <w:lvlJc w:val="right"/>
      <w:pPr>
        <w:ind w:left="4273" w:hanging="180"/>
      </w:pPr>
    </w:lvl>
    <w:lvl w:ilvl="6" w:tplc="280A000F" w:tentative="1">
      <w:start w:val="1"/>
      <w:numFmt w:val="decimal"/>
      <w:lvlText w:val="%7."/>
      <w:lvlJc w:val="left"/>
      <w:pPr>
        <w:ind w:left="4993" w:hanging="360"/>
      </w:pPr>
    </w:lvl>
    <w:lvl w:ilvl="7" w:tplc="280A0019" w:tentative="1">
      <w:start w:val="1"/>
      <w:numFmt w:val="lowerLetter"/>
      <w:lvlText w:val="%8."/>
      <w:lvlJc w:val="left"/>
      <w:pPr>
        <w:ind w:left="5713" w:hanging="360"/>
      </w:pPr>
    </w:lvl>
    <w:lvl w:ilvl="8" w:tplc="2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B7A6752"/>
    <w:multiLevelType w:val="hybridMultilevel"/>
    <w:tmpl w:val="F0D49286"/>
    <w:lvl w:ilvl="0" w:tplc="28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808938896">
    <w:abstractNumId w:val="1"/>
  </w:num>
  <w:num w:numId="2" w16cid:durableId="325716165">
    <w:abstractNumId w:val="2"/>
  </w:num>
  <w:num w:numId="3" w16cid:durableId="237058185">
    <w:abstractNumId w:val="9"/>
  </w:num>
  <w:num w:numId="4" w16cid:durableId="122356252">
    <w:abstractNumId w:val="26"/>
  </w:num>
  <w:num w:numId="5" w16cid:durableId="856315515">
    <w:abstractNumId w:val="27"/>
  </w:num>
  <w:num w:numId="6" w16cid:durableId="1587765586">
    <w:abstractNumId w:val="28"/>
  </w:num>
  <w:num w:numId="7" w16cid:durableId="1891988470">
    <w:abstractNumId w:val="6"/>
  </w:num>
  <w:num w:numId="8" w16cid:durableId="1549876829">
    <w:abstractNumId w:val="12"/>
  </w:num>
  <w:num w:numId="9" w16cid:durableId="950819783">
    <w:abstractNumId w:val="22"/>
  </w:num>
  <w:num w:numId="10" w16cid:durableId="1035546283">
    <w:abstractNumId w:val="24"/>
  </w:num>
  <w:num w:numId="11" w16cid:durableId="165487032">
    <w:abstractNumId w:val="19"/>
  </w:num>
  <w:num w:numId="12" w16cid:durableId="1286160957">
    <w:abstractNumId w:val="16"/>
  </w:num>
  <w:num w:numId="13" w16cid:durableId="1945308915">
    <w:abstractNumId w:val="3"/>
  </w:num>
  <w:num w:numId="14" w16cid:durableId="1440293977">
    <w:abstractNumId w:val="11"/>
  </w:num>
  <w:num w:numId="15" w16cid:durableId="803082519">
    <w:abstractNumId w:val="17"/>
  </w:num>
  <w:num w:numId="16" w16cid:durableId="600602632">
    <w:abstractNumId w:val="29"/>
  </w:num>
  <w:num w:numId="17" w16cid:durableId="1967277515">
    <w:abstractNumId w:val="13"/>
  </w:num>
  <w:num w:numId="18" w16cid:durableId="766660489">
    <w:abstractNumId w:val="10"/>
  </w:num>
  <w:num w:numId="19" w16cid:durableId="51735007">
    <w:abstractNumId w:val="7"/>
  </w:num>
  <w:num w:numId="20" w16cid:durableId="680472675">
    <w:abstractNumId w:val="21"/>
  </w:num>
  <w:num w:numId="21" w16cid:durableId="1881892777">
    <w:abstractNumId w:val="0"/>
  </w:num>
  <w:num w:numId="22" w16cid:durableId="1320574854">
    <w:abstractNumId w:val="4"/>
  </w:num>
  <w:num w:numId="23" w16cid:durableId="1550802310">
    <w:abstractNumId w:val="18"/>
  </w:num>
  <w:num w:numId="24" w16cid:durableId="1764689827">
    <w:abstractNumId w:val="15"/>
  </w:num>
  <w:num w:numId="25" w16cid:durableId="1706102838">
    <w:abstractNumId w:val="23"/>
  </w:num>
  <w:num w:numId="26" w16cid:durableId="238056038">
    <w:abstractNumId w:val="25"/>
  </w:num>
  <w:num w:numId="27" w16cid:durableId="1394112558">
    <w:abstractNumId w:val="20"/>
  </w:num>
  <w:num w:numId="28" w16cid:durableId="1469934465">
    <w:abstractNumId w:val="14"/>
  </w:num>
  <w:num w:numId="29" w16cid:durableId="1403260205">
    <w:abstractNumId w:val="8"/>
  </w:num>
  <w:num w:numId="30" w16cid:durableId="1039473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B"/>
    <w:rsid w:val="00002FFB"/>
    <w:rsid w:val="00057AB6"/>
    <w:rsid w:val="00072767"/>
    <w:rsid w:val="000A6481"/>
    <w:rsid w:val="000B2B9A"/>
    <w:rsid w:val="000D0231"/>
    <w:rsid w:val="000E270B"/>
    <w:rsid w:val="001239C0"/>
    <w:rsid w:val="001249CA"/>
    <w:rsid w:val="00155C41"/>
    <w:rsid w:val="00167E0B"/>
    <w:rsid w:val="001723A6"/>
    <w:rsid w:val="00174F0B"/>
    <w:rsid w:val="00190BF5"/>
    <w:rsid w:val="00197F7E"/>
    <w:rsid w:val="001D1C11"/>
    <w:rsid w:val="001D5FE1"/>
    <w:rsid w:val="001E1ECF"/>
    <w:rsid w:val="001E4BB5"/>
    <w:rsid w:val="002078C9"/>
    <w:rsid w:val="002115D8"/>
    <w:rsid w:val="00232119"/>
    <w:rsid w:val="00264814"/>
    <w:rsid w:val="00264B7C"/>
    <w:rsid w:val="00272A7D"/>
    <w:rsid w:val="0027609D"/>
    <w:rsid w:val="002B2068"/>
    <w:rsid w:val="002B2D95"/>
    <w:rsid w:val="002B6CB0"/>
    <w:rsid w:val="002C4DBF"/>
    <w:rsid w:val="002C6A20"/>
    <w:rsid w:val="002E0158"/>
    <w:rsid w:val="002F4A30"/>
    <w:rsid w:val="00304A3E"/>
    <w:rsid w:val="00326B61"/>
    <w:rsid w:val="003314E6"/>
    <w:rsid w:val="00337944"/>
    <w:rsid w:val="00350AB9"/>
    <w:rsid w:val="00362254"/>
    <w:rsid w:val="0037417D"/>
    <w:rsid w:val="003A142E"/>
    <w:rsid w:val="003B01DC"/>
    <w:rsid w:val="003B200B"/>
    <w:rsid w:val="003B709B"/>
    <w:rsid w:val="003F2F71"/>
    <w:rsid w:val="00437032"/>
    <w:rsid w:val="00444163"/>
    <w:rsid w:val="004574E5"/>
    <w:rsid w:val="004739FB"/>
    <w:rsid w:val="00480A6B"/>
    <w:rsid w:val="00490714"/>
    <w:rsid w:val="004C5E7A"/>
    <w:rsid w:val="0050449A"/>
    <w:rsid w:val="005146F1"/>
    <w:rsid w:val="00525E19"/>
    <w:rsid w:val="00526C3B"/>
    <w:rsid w:val="00534073"/>
    <w:rsid w:val="0054519D"/>
    <w:rsid w:val="00594BD7"/>
    <w:rsid w:val="005B4C21"/>
    <w:rsid w:val="005C4F7E"/>
    <w:rsid w:val="005D773F"/>
    <w:rsid w:val="005E4533"/>
    <w:rsid w:val="005E4A31"/>
    <w:rsid w:val="005E5D4D"/>
    <w:rsid w:val="006113CA"/>
    <w:rsid w:val="00613623"/>
    <w:rsid w:val="0063513E"/>
    <w:rsid w:val="00640C88"/>
    <w:rsid w:val="00674DD5"/>
    <w:rsid w:val="00680DE7"/>
    <w:rsid w:val="006814CE"/>
    <w:rsid w:val="00682593"/>
    <w:rsid w:val="006D225B"/>
    <w:rsid w:val="006E3963"/>
    <w:rsid w:val="006F012B"/>
    <w:rsid w:val="0072578E"/>
    <w:rsid w:val="00726A7E"/>
    <w:rsid w:val="00734AEC"/>
    <w:rsid w:val="00744859"/>
    <w:rsid w:val="00753403"/>
    <w:rsid w:val="00793CA5"/>
    <w:rsid w:val="007F2000"/>
    <w:rsid w:val="007F4895"/>
    <w:rsid w:val="0080222A"/>
    <w:rsid w:val="0083243F"/>
    <w:rsid w:val="00834A04"/>
    <w:rsid w:val="00837CB5"/>
    <w:rsid w:val="00886B02"/>
    <w:rsid w:val="0089413A"/>
    <w:rsid w:val="008C42F5"/>
    <w:rsid w:val="008C5E5F"/>
    <w:rsid w:val="008C7C89"/>
    <w:rsid w:val="008D09B1"/>
    <w:rsid w:val="00920E7E"/>
    <w:rsid w:val="00922E2C"/>
    <w:rsid w:val="0093701C"/>
    <w:rsid w:val="00955BB3"/>
    <w:rsid w:val="0096436A"/>
    <w:rsid w:val="009B5F15"/>
    <w:rsid w:val="009C089A"/>
    <w:rsid w:val="009D0F64"/>
    <w:rsid w:val="009E268D"/>
    <w:rsid w:val="009F1997"/>
    <w:rsid w:val="009F7131"/>
    <w:rsid w:val="00A036AD"/>
    <w:rsid w:val="00A13447"/>
    <w:rsid w:val="00A21490"/>
    <w:rsid w:val="00A55716"/>
    <w:rsid w:val="00AD106A"/>
    <w:rsid w:val="00AD52F2"/>
    <w:rsid w:val="00AF73E4"/>
    <w:rsid w:val="00AF782E"/>
    <w:rsid w:val="00B00F05"/>
    <w:rsid w:val="00B17F65"/>
    <w:rsid w:val="00B22419"/>
    <w:rsid w:val="00B3234C"/>
    <w:rsid w:val="00B43004"/>
    <w:rsid w:val="00B479CF"/>
    <w:rsid w:val="00B52927"/>
    <w:rsid w:val="00B72BD7"/>
    <w:rsid w:val="00BB18BF"/>
    <w:rsid w:val="00C317FE"/>
    <w:rsid w:val="00C65B71"/>
    <w:rsid w:val="00CB57F1"/>
    <w:rsid w:val="00CC6C9C"/>
    <w:rsid w:val="00CF4A10"/>
    <w:rsid w:val="00CF5FB0"/>
    <w:rsid w:val="00D130AB"/>
    <w:rsid w:val="00D31D1A"/>
    <w:rsid w:val="00D666B9"/>
    <w:rsid w:val="00D843BF"/>
    <w:rsid w:val="00D9731F"/>
    <w:rsid w:val="00DB116F"/>
    <w:rsid w:val="00DC6005"/>
    <w:rsid w:val="00DD65CA"/>
    <w:rsid w:val="00DF5C7D"/>
    <w:rsid w:val="00E25368"/>
    <w:rsid w:val="00E52BBB"/>
    <w:rsid w:val="00E63D90"/>
    <w:rsid w:val="00EA4468"/>
    <w:rsid w:val="00EA5E5C"/>
    <w:rsid w:val="00EE08C9"/>
    <w:rsid w:val="00EF4810"/>
    <w:rsid w:val="00F0576C"/>
    <w:rsid w:val="00F06E71"/>
    <w:rsid w:val="00F16EA2"/>
    <w:rsid w:val="00F1741C"/>
    <w:rsid w:val="00F2039F"/>
    <w:rsid w:val="00F25337"/>
    <w:rsid w:val="00F2589D"/>
    <w:rsid w:val="00F258A2"/>
    <w:rsid w:val="00F2659A"/>
    <w:rsid w:val="00F504F1"/>
    <w:rsid w:val="00F7044A"/>
    <w:rsid w:val="00F83405"/>
    <w:rsid w:val="00F95B43"/>
    <w:rsid w:val="00FB37BF"/>
    <w:rsid w:val="00FB76A0"/>
    <w:rsid w:val="00FD4E5E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2BBFF"/>
  <w15:chartTrackingRefBased/>
  <w15:docId w15:val="{0DFCA8FD-1DD5-40B2-930F-999BA3E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214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F73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BBB0-B4F7-4808-B7EC-BE427654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SIPION FERNANDEZ</dc:creator>
  <cp:keywords/>
  <dc:description/>
  <cp:lastModifiedBy>ERNESTO FRANCISCO ARIAS VALVERDE</cp:lastModifiedBy>
  <cp:revision>5</cp:revision>
  <dcterms:created xsi:type="dcterms:W3CDTF">2023-06-27T20:03:00Z</dcterms:created>
  <dcterms:modified xsi:type="dcterms:W3CDTF">2023-06-28T16:20:00Z</dcterms:modified>
</cp:coreProperties>
</file>