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487"/>
      </w:tblGrid>
      <w:tr w:rsidR="00EF7C8F" w14:paraId="62A1AD1D" w14:textId="77777777" w:rsidTr="00573060">
        <w:trPr>
          <w:trHeight w:val="708"/>
        </w:trPr>
        <w:tc>
          <w:tcPr>
            <w:tcW w:w="9493" w:type="dxa"/>
          </w:tcPr>
          <w:p w14:paraId="5F4F0215" w14:textId="29E4E072" w:rsidR="00EF7C8F" w:rsidRPr="009C04C3" w:rsidRDefault="00EF7C8F" w:rsidP="00573060">
            <w:pPr>
              <w:spacing w:line="276" w:lineRule="auto"/>
              <w:jc w:val="center"/>
              <w:rPr>
                <w:rFonts w:ascii="Arial" w:hAnsi="Arial"/>
                <w:b/>
                <w:snapToGrid w:val="0"/>
                <w:color w:val="000000"/>
                <w:sz w:val="24"/>
              </w:rPr>
            </w:pPr>
            <w:bookmarkStart w:id="0" w:name="_Hlk60148253"/>
            <w:r w:rsidRPr="009C04C3">
              <w:rPr>
                <w:rFonts w:ascii="Arial" w:hAnsi="Arial"/>
                <w:b/>
                <w:snapToGrid w:val="0"/>
                <w:color w:val="000000"/>
                <w:sz w:val="24"/>
              </w:rPr>
              <w:t xml:space="preserve">FORMATO </w:t>
            </w:r>
            <w:proofErr w:type="spellStart"/>
            <w:r w:rsidRPr="009C04C3">
              <w:rPr>
                <w:rFonts w:ascii="Arial" w:hAnsi="Arial"/>
                <w:b/>
                <w:snapToGrid w:val="0"/>
                <w:color w:val="000000"/>
                <w:sz w:val="24"/>
              </w:rPr>
              <w:t>N°</w:t>
            </w:r>
            <w:proofErr w:type="spellEnd"/>
            <w:r w:rsidRPr="009C04C3">
              <w:rPr>
                <w:rFonts w:ascii="Arial" w:hAnsi="Arial"/>
                <w:b/>
                <w:snapToGrid w:val="0"/>
                <w:color w:val="000000"/>
                <w:sz w:val="24"/>
              </w:rPr>
              <w:t xml:space="preserve"> 04-A:</w:t>
            </w:r>
          </w:p>
          <w:p w14:paraId="55636EE2" w14:textId="60210834" w:rsidR="00EF7C8F" w:rsidRPr="00EF7C8F" w:rsidRDefault="00EF7C8F" w:rsidP="00573060">
            <w:pPr>
              <w:spacing w:line="276" w:lineRule="auto"/>
              <w:jc w:val="center"/>
              <w:rPr>
                <w:rFonts w:ascii="Arial" w:hAnsi="Arial"/>
                <w:b/>
                <w:snapToGrid w:val="0"/>
                <w:color w:val="000000"/>
                <w:sz w:val="24"/>
              </w:rPr>
            </w:pPr>
            <w:r w:rsidRPr="009C04C3">
              <w:rPr>
                <w:rFonts w:ascii="Arial" w:hAnsi="Arial"/>
                <w:b/>
                <w:snapToGrid w:val="0"/>
                <w:color w:val="000000"/>
                <w:sz w:val="24"/>
              </w:rPr>
              <w:t>INDICADOR DE BRECHA</w:t>
            </w:r>
          </w:p>
        </w:tc>
      </w:tr>
    </w:tbl>
    <w:p w14:paraId="4AB9ECEF" w14:textId="6F7B29A5" w:rsidR="007C4F1D" w:rsidRDefault="007C4F1D"/>
    <w:tbl>
      <w:tblPr>
        <w:tblStyle w:val="Tablaconcuadrcula"/>
        <w:tblW w:w="9493" w:type="dxa"/>
        <w:tblLook w:val="04A0" w:firstRow="1" w:lastRow="0" w:firstColumn="1" w:lastColumn="0" w:noHBand="0" w:noVBand="1"/>
      </w:tblPr>
      <w:tblGrid>
        <w:gridCol w:w="1413"/>
        <w:gridCol w:w="566"/>
        <w:gridCol w:w="7514"/>
      </w:tblGrid>
      <w:tr w:rsidR="00DE2D8A" w:rsidRPr="00DF1A12" w14:paraId="68950F46" w14:textId="77777777" w:rsidTr="00501759">
        <w:trPr>
          <w:trHeight w:val="401"/>
        </w:trPr>
        <w:tc>
          <w:tcPr>
            <w:tcW w:w="1413" w:type="dxa"/>
            <w:vAlign w:val="center"/>
          </w:tcPr>
          <w:p w14:paraId="5382E33E" w14:textId="473C8DEA" w:rsidR="00DE2D8A" w:rsidRPr="00E5234F" w:rsidRDefault="00DE2D8A" w:rsidP="009F6EE7">
            <w:pPr>
              <w:rPr>
                <w:rFonts w:ascii="Arial" w:hAnsi="Arial" w:cs="Arial"/>
                <w:b/>
                <w:bCs/>
                <w:sz w:val="16"/>
                <w:szCs w:val="16"/>
              </w:rPr>
            </w:pPr>
            <w:r w:rsidRPr="00E5234F">
              <w:rPr>
                <w:rFonts w:ascii="Arial" w:hAnsi="Arial" w:cs="Arial"/>
                <w:b/>
                <w:bCs/>
                <w:sz w:val="16"/>
                <w:szCs w:val="16"/>
              </w:rPr>
              <w:t>Sector Responsable</w:t>
            </w:r>
          </w:p>
        </w:tc>
        <w:tc>
          <w:tcPr>
            <w:tcW w:w="566" w:type="dxa"/>
            <w:shd w:val="clear" w:color="auto" w:fill="auto"/>
            <w:vAlign w:val="center"/>
          </w:tcPr>
          <w:p w14:paraId="4CE4646E" w14:textId="08D5E48F" w:rsidR="00DE2D8A" w:rsidRPr="00E5234F" w:rsidRDefault="00E5234F" w:rsidP="00FA37E3">
            <w:pPr>
              <w:jc w:val="center"/>
              <w:rPr>
                <w:rFonts w:ascii="Arial" w:hAnsi="Arial" w:cs="Arial"/>
                <w:sz w:val="16"/>
                <w:szCs w:val="16"/>
              </w:rPr>
            </w:pPr>
            <w:r w:rsidRPr="00E5234F">
              <w:rPr>
                <w:rFonts w:ascii="Arial" w:hAnsi="Arial" w:cs="Arial"/>
                <w:sz w:val="16"/>
                <w:szCs w:val="16"/>
              </w:rPr>
              <w:t>10</w:t>
            </w:r>
          </w:p>
        </w:tc>
        <w:tc>
          <w:tcPr>
            <w:tcW w:w="7514" w:type="dxa"/>
            <w:shd w:val="clear" w:color="auto" w:fill="auto"/>
            <w:vAlign w:val="center"/>
          </w:tcPr>
          <w:p w14:paraId="70EDA9B9" w14:textId="64292507" w:rsidR="00DE2D8A" w:rsidRPr="00E5234F" w:rsidRDefault="00442BBE">
            <w:pPr>
              <w:rPr>
                <w:rFonts w:ascii="Arial" w:hAnsi="Arial" w:cs="Arial"/>
                <w:sz w:val="16"/>
                <w:szCs w:val="16"/>
              </w:rPr>
            </w:pPr>
            <w:r w:rsidRPr="00E5234F">
              <w:rPr>
                <w:rFonts w:ascii="Arial" w:hAnsi="Arial" w:cs="Arial"/>
                <w:sz w:val="16"/>
                <w:szCs w:val="16"/>
              </w:rPr>
              <w:t>Educación</w:t>
            </w:r>
          </w:p>
        </w:tc>
      </w:tr>
      <w:tr w:rsidR="003C33F5" w:rsidRPr="003C33F5" w14:paraId="6C0C447A" w14:textId="77777777" w:rsidTr="00501759">
        <w:trPr>
          <w:trHeight w:val="423"/>
        </w:trPr>
        <w:tc>
          <w:tcPr>
            <w:tcW w:w="1413" w:type="dxa"/>
            <w:vAlign w:val="center"/>
          </w:tcPr>
          <w:p w14:paraId="3977CE04" w14:textId="72468A0B" w:rsidR="00DE2D8A" w:rsidRPr="003C33F5" w:rsidRDefault="00B4744E" w:rsidP="009F6EE7">
            <w:pPr>
              <w:rPr>
                <w:rFonts w:ascii="Arial" w:hAnsi="Arial" w:cs="Arial"/>
                <w:b/>
                <w:bCs/>
                <w:sz w:val="16"/>
                <w:szCs w:val="16"/>
              </w:rPr>
            </w:pPr>
            <w:r w:rsidRPr="003C33F5">
              <w:rPr>
                <w:rFonts w:ascii="Arial" w:hAnsi="Arial" w:cs="Arial"/>
                <w:b/>
                <w:bCs/>
                <w:sz w:val="16"/>
                <w:szCs w:val="16"/>
              </w:rPr>
              <w:t xml:space="preserve">Nombre del Indicador </w:t>
            </w:r>
          </w:p>
        </w:tc>
        <w:tc>
          <w:tcPr>
            <w:tcW w:w="566" w:type="dxa"/>
            <w:shd w:val="clear" w:color="auto" w:fill="auto"/>
            <w:vAlign w:val="center"/>
          </w:tcPr>
          <w:p w14:paraId="3172FC95" w14:textId="05E67764" w:rsidR="00DE2D8A" w:rsidRPr="003C33F5" w:rsidRDefault="003C33F5" w:rsidP="00FA37E3">
            <w:pPr>
              <w:jc w:val="center"/>
              <w:rPr>
                <w:rFonts w:ascii="Arial" w:hAnsi="Arial" w:cs="Arial"/>
                <w:sz w:val="16"/>
                <w:szCs w:val="16"/>
              </w:rPr>
            </w:pPr>
            <w:r w:rsidRPr="00E75E6B">
              <w:rPr>
                <w:rFonts w:ascii="Arial" w:hAnsi="Arial" w:cs="Arial"/>
                <w:sz w:val="16"/>
                <w:szCs w:val="16"/>
              </w:rPr>
              <w:t>354</w:t>
            </w:r>
          </w:p>
        </w:tc>
        <w:tc>
          <w:tcPr>
            <w:tcW w:w="7514" w:type="dxa"/>
            <w:shd w:val="clear" w:color="auto" w:fill="auto"/>
            <w:vAlign w:val="center"/>
          </w:tcPr>
          <w:p w14:paraId="2350C117" w14:textId="6002A484" w:rsidR="00DE2D8A" w:rsidRPr="003C33F5" w:rsidRDefault="003C33F5" w:rsidP="000231F2">
            <w:pPr>
              <w:rPr>
                <w:rFonts w:ascii="Arial" w:hAnsi="Arial" w:cs="Arial"/>
                <w:sz w:val="16"/>
                <w:szCs w:val="16"/>
              </w:rPr>
            </w:pPr>
            <w:r w:rsidRPr="003C33F5">
              <w:rPr>
                <w:rFonts w:ascii="Arial" w:hAnsi="Arial" w:cs="Arial"/>
                <w:sz w:val="16"/>
                <w:szCs w:val="16"/>
              </w:rPr>
              <w:t xml:space="preserve">Porcentaje de unidades productoras del </w:t>
            </w:r>
            <w:r w:rsidR="00A11CE1">
              <w:rPr>
                <w:rFonts w:ascii="Arial" w:hAnsi="Arial" w:cs="Arial"/>
                <w:sz w:val="16"/>
                <w:szCs w:val="16"/>
              </w:rPr>
              <w:t>m</w:t>
            </w:r>
            <w:r w:rsidRPr="003C33F5">
              <w:rPr>
                <w:rFonts w:ascii="Arial" w:hAnsi="Arial" w:cs="Arial"/>
                <w:sz w:val="16"/>
                <w:szCs w:val="16"/>
              </w:rPr>
              <w:t xml:space="preserve">odelo de servicio educativo para estudiantes </w:t>
            </w:r>
            <w:r w:rsidR="00AB4635">
              <w:rPr>
                <w:rFonts w:ascii="Arial" w:hAnsi="Arial" w:cs="Arial"/>
                <w:sz w:val="16"/>
                <w:szCs w:val="16"/>
              </w:rPr>
              <w:t xml:space="preserve">con habilidades </w:t>
            </w:r>
            <w:r w:rsidRPr="003C33F5">
              <w:rPr>
                <w:rFonts w:ascii="Arial" w:hAnsi="Arial" w:cs="Arial"/>
                <w:sz w:val="16"/>
                <w:szCs w:val="16"/>
              </w:rPr>
              <w:t>sobresalientes</w:t>
            </w:r>
            <w:r w:rsidR="006C4DAD">
              <w:rPr>
                <w:rFonts w:ascii="Arial" w:hAnsi="Arial" w:cs="Arial"/>
                <w:sz w:val="16"/>
                <w:szCs w:val="16"/>
              </w:rPr>
              <w:t xml:space="preserve">, </w:t>
            </w:r>
            <w:r w:rsidRPr="003C33F5">
              <w:rPr>
                <w:rFonts w:ascii="Arial" w:hAnsi="Arial" w:cs="Arial"/>
                <w:sz w:val="16"/>
                <w:szCs w:val="16"/>
              </w:rPr>
              <w:t>con capacidad instalada inadecuada</w:t>
            </w:r>
          </w:p>
        </w:tc>
      </w:tr>
      <w:tr w:rsidR="003C33F5" w:rsidRPr="002E31DA" w14:paraId="11A718E3" w14:textId="77777777" w:rsidTr="00501759">
        <w:trPr>
          <w:trHeight w:val="448"/>
        </w:trPr>
        <w:tc>
          <w:tcPr>
            <w:tcW w:w="1413" w:type="dxa"/>
            <w:vAlign w:val="center"/>
          </w:tcPr>
          <w:p w14:paraId="57EC8604" w14:textId="7E21759A" w:rsidR="00FA37E3" w:rsidRPr="002E31DA" w:rsidRDefault="00FA37E3" w:rsidP="009F6EE7">
            <w:pPr>
              <w:rPr>
                <w:rFonts w:ascii="Arial" w:hAnsi="Arial" w:cs="Arial"/>
                <w:sz w:val="16"/>
                <w:szCs w:val="16"/>
              </w:rPr>
            </w:pPr>
            <w:r w:rsidRPr="002E31DA">
              <w:rPr>
                <w:rFonts w:ascii="Arial" w:hAnsi="Arial" w:cs="Arial"/>
                <w:b/>
                <w:bCs/>
                <w:sz w:val="16"/>
                <w:szCs w:val="16"/>
              </w:rPr>
              <w:t>Tipo de Indicador</w:t>
            </w:r>
          </w:p>
        </w:tc>
        <w:tc>
          <w:tcPr>
            <w:tcW w:w="8080" w:type="dxa"/>
            <w:gridSpan w:val="2"/>
            <w:shd w:val="clear" w:color="auto" w:fill="auto"/>
            <w:vAlign w:val="center"/>
          </w:tcPr>
          <w:p w14:paraId="6994EF24" w14:textId="56476DD2" w:rsidR="00FA37E3" w:rsidRPr="002E31DA" w:rsidRDefault="00442BBE">
            <w:pPr>
              <w:rPr>
                <w:rFonts w:ascii="Arial" w:hAnsi="Arial" w:cs="Arial"/>
                <w:sz w:val="16"/>
                <w:szCs w:val="16"/>
              </w:rPr>
            </w:pPr>
            <w:r w:rsidRPr="002E31DA">
              <w:rPr>
                <w:rFonts w:ascii="Arial" w:hAnsi="Arial" w:cs="Arial"/>
                <w:sz w:val="16"/>
                <w:szCs w:val="16"/>
              </w:rPr>
              <w:t>Calidad</w:t>
            </w:r>
          </w:p>
        </w:tc>
      </w:tr>
      <w:tr w:rsidR="00C15DC8" w:rsidRPr="002E31DA" w14:paraId="0C106DDE" w14:textId="77777777" w:rsidTr="00501759">
        <w:trPr>
          <w:trHeight w:val="430"/>
        </w:trPr>
        <w:tc>
          <w:tcPr>
            <w:tcW w:w="1413" w:type="dxa"/>
            <w:vAlign w:val="center"/>
          </w:tcPr>
          <w:p w14:paraId="52728A04" w14:textId="6694EFAD" w:rsidR="00DE2D8A" w:rsidRPr="002E31DA" w:rsidRDefault="00DE2D8A" w:rsidP="009F6EE7">
            <w:pPr>
              <w:rPr>
                <w:rFonts w:ascii="Arial" w:hAnsi="Arial" w:cs="Arial"/>
                <w:sz w:val="16"/>
                <w:szCs w:val="16"/>
              </w:rPr>
            </w:pPr>
            <w:r w:rsidRPr="002E31DA">
              <w:rPr>
                <w:rFonts w:ascii="Arial" w:hAnsi="Arial" w:cs="Arial"/>
                <w:b/>
                <w:bCs/>
                <w:sz w:val="16"/>
                <w:szCs w:val="16"/>
              </w:rPr>
              <w:t>Unidad de Medida</w:t>
            </w:r>
          </w:p>
        </w:tc>
        <w:tc>
          <w:tcPr>
            <w:tcW w:w="566" w:type="dxa"/>
            <w:shd w:val="clear" w:color="auto" w:fill="auto"/>
            <w:vAlign w:val="center"/>
          </w:tcPr>
          <w:p w14:paraId="2FDA500C" w14:textId="33657A1B" w:rsidR="00DE2D8A" w:rsidRPr="002E31DA" w:rsidRDefault="00E5234F" w:rsidP="00FA37E3">
            <w:pPr>
              <w:jc w:val="center"/>
              <w:rPr>
                <w:rFonts w:ascii="Arial" w:hAnsi="Arial" w:cs="Arial"/>
                <w:sz w:val="16"/>
                <w:szCs w:val="16"/>
              </w:rPr>
            </w:pPr>
            <w:r w:rsidRPr="002E31DA">
              <w:rPr>
                <w:rFonts w:ascii="Arial" w:hAnsi="Arial" w:cs="Arial"/>
                <w:sz w:val="16"/>
                <w:szCs w:val="16"/>
              </w:rPr>
              <w:t>327</w:t>
            </w:r>
          </w:p>
        </w:tc>
        <w:tc>
          <w:tcPr>
            <w:tcW w:w="7514" w:type="dxa"/>
            <w:shd w:val="clear" w:color="auto" w:fill="auto"/>
            <w:vAlign w:val="center"/>
          </w:tcPr>
          <w:p w14:paraId="653DB9DE" w14:textId="75103E1D" w:rsidR="00DE2D8A" w:rsidRPr="002E31DA" w:rsidRDefault="00442BBE">
            <w:pPr>
              <w:rPr>
                <w:rFonts w:ascii="Arial" w:hAnsi="Arial" w:cs="Arial"/>
                <w:sz w:val="16"/>
                <w:szCs w:val="16"/>
              </w:rPr>
            </w:pPr>
            <w:r w:rsidRPr="002E31DA">
              <w:rPr>
                <w:rFonts w:ascii="Arial" w:hAnsi="Arial" w:cs="Arial"/>
                <w:sz w:val="16"/>
                <w:szCs w:val="16"/>
              </w:rPr>
              <w:t>Unidad Productora</w:t>
            </w:r>
          </w:p>
        </w:tc>
      </w:tr>
      <w:tr w:rsidR="0084371A" w:rsidRPr="002E31DA" w14:paraId="35F1A4CD" w14:textId="77777777" w:rsidTr="00501759">
        <w:trPr>
          <w:trHeight w:val="430"/>
        </w:trPr>
        <w:tc>
          <w:tcPr>
            <w:tcW w:w="1413" w:type="dxa"/>
            <w:vAlign w:val="center"/>
          </w:tcPr>
          <w:p w14:paraId="3A2665BE" w14:textId="551D1317" w:rsidR="00C73B6D" w:rsidRPr="002E31DA" w:rsidRDefault="00C73B6D" w:rsidP="009F6EE7">
            <w:pPr>
              <w:rPr>
                <w:rFonts w:ascii="Arial" w:hAnsi="Arial" w:cs="Arial"/>
                <w:b/>
                <w:bCs/>
                <w:sz w:val="16"/>
                <w:szCs w:val="16"/>
              </w:rPr>
            </w:pPr>
            <w:r w:rsidRPr="002E31DA">
              <w:rPr>
                <w:rFonts w:ascii="Arial" w:hAnsi="Arial" w:cs="Arial"/>
                <w:b/>
                <w:bCs/>
                <w:sz w:val="16"/>
                <w:szCs w:val="16"/>
              </w:rPr>
              <w:t>Nivel de desagregación</w:t>
            </w:r>
          </w:p>
        </w:tc>
        <w:tc>
          <w:tcPr>
            <w:tcW w:w="8080" w:type="dxa"/>
            <w:gridSpan w:val="2"/>
            <w:shd w:val="clear" w:color="auto" w:fill="auto"/>
            <w:vAlign w:val="center"/>
          </w:tcPr>
          <w:p w14:paraId="76D3C9CD" w14:textId="760C6A2A" w:rsidR="00C73B6D" w:rsidRPr="002E31DA" w:rsidRDefault="00C15DC8">
            <w:pPr>
              <w:rPr>
                <w:rFonts w:ascii="Arial" w:hAnsi="Arial" w:cs="Arial"/>
                <w:sz w:val="16"/>
                <w:szCs w:val="16"/>
              </w:rPr>
            </w:pPr>
            <w:r w:rsidRPr="002E31DA">
              <w:rPr>
                <w:rFonts w:ascii="Arial" w:hAnsi="Arial" w:cs="Arial"/>
                <w:sz w:val="16"/>
                <w:szCs w:val="16"/>
              </w:rPr>
              <w:t>Regional</w:t>
            </w:r>
          </w:p>
        </w:tc>
      </w:tr>
    </w:tbl>
    <w:p w14:paraId="49FC6AB5" w14:textId="15D377CD" w:rsidR="00EF7C8F" w:rsidRPr="002E31DA" w:rsidRDefault="00EF7C8F">
      <w:pPr>
        <w:rPr>
          <w:rFonts w:ascii="Arial" w:hAnsi="Arial" w:cs="Arial"/>
          <w:sz w:val="20"/>
          <w:szCs w:val="20"/>
        </w:rPr>
      </w:pPr>
    </w:p>
    <w:tbl>
      <w:tblPr>
        <w:tblStyle w:val="Tablaconcuadrcula"/>
        <w:tblW w:w="948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20"/>
        <w:gridCol w:w="3384"/>
        <w:gridCol w:w="234"/>
        <w:gridCol w:w="1587"/>
        <w:gridCol w:w="3158"/>
      </w:tblGrid>
      <w:tr w:rsidR="00C15DC8" w:rsidRPr="002E31DA" w14:paraId="157B288C" w14:textId="77777777" w:rsidTr="00E01366">
        <w:trPr>
          <w:trHeight w:val="58"/>
        </w:trPr>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05A0A" w14:textId="24DB213C" w:rsidR="00E01366" w:rsidRPr="002E31DA" w:rsidRDefault="00E01366" w:rsidP="00E01366">
            <w:pPr>
              <w:rPr>
                <w:rFonts w:ascii="Arial" w:hAnsi="Arial" w:cs="Arial"/>
                <w:b/>
                <w:bCs/>
              </w:rPr>
            </w:pPr>
            <w:r w:rsidRPr="002E31DA">
              <w:rPr>
                <w:rFonts w:ascii="Arial" w:hAnsi="Arial" w:cs="Arial"/>
                <w:b/>
                <w:bCs/>
              </w:rPr>
              <w:t>Servicio y Tipología</w:t>
            </w:r>
          </w:p>
        </w:tc>
      </w:tr>
      <w:tr w:rsidR="00C15DC8" w:rsidRPr="002E31DA" w14:paraId="3662FA07" w14:textId="77777777" w:rsidTr="00E01366">
        <w:trPr>
          <w:trHeight w:val="58"/>
        </w:trPr>
        <w:tc>
          <w:tcPr>
            <w:tcW w:w="4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86A30" w14:textId="77777777" w:rsidR="00E01366" w:rsidRPr="002E31DA" w:rsidRDefault="00E01366" w:rsidP="000231F2">
            <w:pPr>
              <w:jc w:val="center"/>
              <w:rPr>
                <w:rFonts w:ascii="Arial" w:hAnsi="Arial" w:cs="Arial"/>
                <w:b/>
                <w:bCs/>
                <w:sz w:val="16"/>
                <w:szCs w:val="16"/>
              </w:rPr>
            </w:pPr>
            <w:r w:rsidRPr="002E31DA">
              <w:rPr>
                <w:rFonts w:ascii="Arial" w:hAnsi="Arial" w:cs="Arial"/>
                <w:b/>
                <w:bCs/>
                <w:sz w:val="16"/>
                <w:szCs w:val="16"/>
              </w:rPr>
              <w:t>Servicio</w:t>
            </w:r>
          </w:p>
        </w:tc>
        <w:tc>
          <w:tcPr>
            <w:tcW w:w="234" w:type="dxa"/>
            <w:vMerge w:val="restart"/>
            <w:tcBorders>
              <w:left w:val="single" w:sz="4" w:space="0" w:color="auto"/>
              <w:right w:val="single" w:sz="4" w:space="0" w:color="auto"/>
            </w:tcBorders>
            <w:shd w:val="clear" w:color="auto" w:fill="FFFFFF" w:themeFill="background1"/>
            <w:vAlign w:val="center"/>
          </w:tcPr>
          <w:p w14:paraId="7884112F" w14:textId="77777777" w:rsidR="00E01366" w:rsidRPr="002E31DA" w:rsidRDefault="00E01366" w:rsidP="000231F2">
            <w:pPr>
              <w:jc w:val="center"/>
              <w:rPr>
                <w:rFonts w:ascii="Arial" w:hAnsi="Arial" w:cs="Arial"/>
                <w:b/>
                <w:bCs/>
                <w:sz w:val="16"/>
                <w:szCs w:val="16"/>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1E7F" w14:textId="77777777" w:rsidR="00E01366" w:rsidRPr="002E31DA" w:rsidRDefault="00E01366" w:rsidP="000231F2">
            <w:pPr>
              <w:jc w:val="center"/>
              <w:rPr>
                <w:rFonts w:ascii="Arial" w:hAnsi="Arial" w:cs="Arial"/>
                <w:b/>
                <w:bCs/>
                <w:sz w:val="16"/>
                <w:szCs w:val="16"/>
              </w:rPr>
            </w:pPr>
            <w:r w:rsidRPr="002E31DA">
              <w:rPr>
                <w:rFonts w:ascii="Arial" w:hAnsi="Arial" w:cs="Arial"/>
                <w:b/>
                <w:bCs/>
                <w:sz w:val="16"/>
                <w:szCs w:val="16"/>
              </w:rPr>
              <w:t>Tipología</w:t>
            </w:r>
          </w:p>
        </w:tc>
      </w:tr>
      <w:tr w:rsidR="00C15DC8" w:rsidRPr="002E31DA" w14:paraId="2ABCBF34" w14:textId="77777777" w:rsidTr="00E01366">
        <w:trPr>
          <w:trHeight w:val="33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BD2E" w14:textId="6B42FB4A" w:rsidR="00E01366" w:rsidRPr="002E31DA" w:rsidRDefault="0084371A" w:rsidP="000231F2">
            <w:pPr>
              <w:rPr>
                <w:rFonts w:ascii="Arial" w:hAnsi="Arial" w:cs="Arial"/>
                <w:sz w:val="16"/>
                <w:szCs w:val="16"/>
              </w:rPr>
            </w:pPr>
            <w:r w:rsidRPr="002E31DA">
              <w:rPr>
                <w:rFonts w:ascii="Arial" w:hAnsi="Arial" w:cs="Arial"/>
                <w:sz w:val="16"/>
                <w:szCs w:val="16"/>
              </w:rPr>
              <w:t>412</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4C50FF" w14:textId="57BED65F" w:rsidR="00E01366" w:rsidRPr="002E31DA" w:rsidRDefault="00442BBE" w:rsidP="0084371A">
            <w:pPr>
              <w:rPr>
                <w:rFonts w:ascii="Arial" w:hAnsi="Arial" w:cs="Arial"/>
                <w:sz w:val="16"/>
                <w:szCs w:val="16"/>
              </w:rPr>
            </w:pPr>
            <w:r w:rsidRPr="002E31DA">
              <w:rPr>
                <w:rFonts w:ascii="Arial" w:hAnsi="Arial" w:cs="Arial"/>
                <w:sz w:val="16"/>
                <w:szCs w:val="16"/>
              </w:rPr>
              <w:t xml:space="preserve">Servicio de Educación </w:t>
            </w:r>
            <w:r w:rsidR="0084371A" w:rsidRPr="002E31DA">
              <w:rPr>
                <w:rFonts w:ascii="Arial" w:hAnsi="Arial" w:cs="Arial"/>
                <w:sz w:val="16"/>
                <w:szCs w:val="16"/>
              </w:rPr>
              <w:t>Secundaria</w:t>
            </w:r>
          </w:p>
        </w:tc>
        <w:tc>
          <w:tcPr>
            <w:tcW w:w="234" w:type="dxa"/>
            <w:vMerge/>
            <w:tcBorders>
              <w:left w:val="single" w:sz="4" w:space="0" w:color="auto"/>
              <w:right w:val="single" w:sz="4" w:space="0" w:color="auto"/>
            </w:tcBorders>
            <w:shd w:val="clear" w:color="auto" w:fill="auto"/>
            <w:vAlign w:val="center"/>
          </w:tcPr>
          <w:p w14:paraId="00AD727F" w14:textId="77777777" w:rsidR="00E01366" w:rsidRPr="002E31DA" w:rsidRDefault="00E01366" w:rsidP="000231F2">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90E1C53" w14:textId="1BF9BCD3" w:rsidR="00E01366" w:rsidRPr="002E31DA" w:rsidRDefault="00C15DC8" w:rsidP="000231F2">
            <w:pPr>
              <w:rPr>
                <w:rFonts w:ascii="Arial" w:hAnsi="Arial" w:cs="Arial"/>
                <w:sz w:val="16"/>
                <w:szCs w:val="16"/>
              </w:rPr>
            </w:pPr>
            <w:r w:rsidRPr="002E31DA">
              <w:rPr>
                <w:rFonts w:ascii="Arial" w:hAnsi="Arial" w:cs="Arial"/>
                <w:sz w:val="16"/>
                <w:szCs w:val="16"/>
              </w:rPr>
              <w:t>371</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4D6159BE" w14:textId="2381211F" w:rsidR="00E01366" w:rsidRPr="002E31DA" w:rsidRDefault="00C15DC8" w:rsidP="00C15DC8">
            <w:pPr>
              <w:rPr>
                <w:rFonts w:ascii="Arial" w:hAnsi="Arial" w:cs="Arial"/>
                <w:sz w:val="16"/>
                <w:szCs w:val="16"/>
              </w:rPr>
            </w:pPr>
            <w:r w:rsidRPr="002E31DA">
              <w:rPr>
                <w:rFonts w:ascii="Arial" w:hAnsi="Arial" w:cs="Arial"/>
                <w:sz w:val="16"/>
                <w:szCs w:val="16"/>
              </w:rPr>
              <w:t xml:space="preserve">Educación Secundaria para Atención de Estudiantes </w:t>
            </w:r>
            <w:r w:rsidR="00680A91">
              <w:rPr>
                <w:rFonts w:ascii="Arial" w:hAnsi="Arial" w:cs="Arial"/>
                <w:sz w:val="16"/>
                <w:szCs w:val="16"/>
              </w:rPr>
              <w:t>sobresalientes</w:t>
            </w:r>
          </w:p>
        </w:tc>
      </w:tr>
      <w:tr w:rsidR="00C15DC8" w:rsidRPr="002E31DA" w14:paraId="39D46F29" w14:textId="77777777" w:rsidTr="00E01366">
        <w:trPr>
          <w:trHeight w:val="58"/>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002B6" w14:textId="77777777" w:rsidR="00E01366" w:rsidRPr="002E31DA" w:rsidRDefault="00E01366" w:rsidP="000231F2">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4CB45" w14:textId="77777777" w:rsidR="00E01366" w:rsidRPr="002E31DA" w:rsidRDefault="00E01366" w:rsidP="000231F2">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605F7CAA" w14:textId="77777777" w:rsidR="00E01366" w:rsidRPr="002E31DA" w:rsidRDefault="00E01366" w:rsidP="000231F2">
            <w:pPr>
              <w:rPr>
                <w:rFonts w:ascii="Arial" w:hAnsi="Arial" w:cs="Arial"/>
                <w:sz w:val="16"/>
                <w:szCs w:val="16"/>
              </w:rPr>
            </w:pPr>
          </w:p>
        </w:tc>
        <w:tc>
          <w:tcPr>
            <w:tcW w:w="1587" w:type="dxa"/>
            <w:tcBorders>
              <w:top w:val="single" w:sz="4" w:space="0" w:color="auto"/>
              <w:left w:val="single" w:sz="4" w:space="0" w:color="auto"/>
              <w:bottom w:val="single" w:sz="4" w:space="0" w:color="auto"/>
            </w:tcBorders>
            <w:shd w:val="clear" w:color="auto" w:fill="auto"/>
            <w:vAlign w:val="center"/>
          </w:tcPr>
          <w:p w14:paraId="4A3E7DA5" w14:textId="77777777" w:rsidR="00E01366" w:rsidRPr="002E31DA" w:rsidRDefault="00E01366" w:rsidP="000231F2">
            <w:pPr>
              <w:rPr>
                <w:rFonts w:ascii="Arial" w:hAnsi="Arial" w:cs="Arial"/>
                <w:sz w:val="16"/>
                <w:szCs w:val="16"/>
              </w:rPr>
            </w:pPr>
          </w:p>
        </w:tc>
        <w:tc>
          <w:tcPr>
            <w:tcW w:w="3157" w:type="dxa"/>
            <w:tcBorders>
              <w:top w:val="single" w:sz="4" w:space="0" w:color="auto"/>
              <w:bottom w:val="single" w:sz="4" w:space="0" w:color="auto"/>
            </w:tcBorders>
            <w:shd w:val="clear" w:color="auto" w:fill="auto"/>
            <w:vAlign w:val="center"/>
          </w:tcPr>
          <w:p w14:paraId="5A66EE65" w14:textId="77777777" w:rsidR="00E01366" w:rsidRPr="002E31DA" w:rsidRDefault="00E01366" w:rsidP="000231F2">
            <w:pPr>
              <w:rPr>
                <w:rFonts w:ascii="Arial" w:hAnsi="Arial" w:cs="Arial"/>
                <w:sz w:val="16"/>
                <w:szCs w:val="16"/>
              </w:rPr>
            </w:pPr>
          </w:p>
        </w:tc>
      </w:tr>
      <w:tr w:rsidR="00E01366" w:rsidRPr="002E31DA" w14:paraId="01F704E6" w14:textId="77777777" w:rsidTr="00E01366">
        <w:trPr>
          <w:trHeight w:val="363"/>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42E6" w14:textId="77777777" w:rsidR="00E01366" w:rsidRPr="002E31DA" w:rsidRDefault="00E01366" w:rsidP="000231F2">
            <w:pPr>
              <w:rPr>
                <w:rFonts w:ascii="Arial" w:hAnsi="Arial" w:cs="Arial"/>
                <w:sz w:val="16"/>
                <w:szCs w:val="16"/>
              </w:rPr>
            </w:pPr>
          </w:p>
        </w:tc>
        <w:tc>
          <w:tcPr>
            <w:tcW w:w="3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84493" w14:textId="77777777" w:rsidR="00E01366" w:rsidRPr="002E31DA" w:rsidRDefault="00E01366" w:rsidP="000231F2">
            <w:pPr>
              <w:rPr>
                <w:rFonts w:ascii="Arial" w:hAnsi="Arial" w:cs="Arial"/>
                <w:sz w:val="16"/>
                <w:szCs w:val="16"/>
              </w:rPr>
            </w:pPr>
          </w:p>
        </w:tc>
        <w:tc>
          <w:tcPr>
            <w:tcW w:w="234" w:type="dxa"/>
            <w:vMerge/>
            <w:tcBorders>
              <w:left w:val="single" w:sz="4" w:space="0" w:color="auto"/>
              <w:right w:val="single" w:sz="4" w:space="0" w:color="auto"/>
            </w:tcBorders>
            <w:shd w:val="clear" w:color="auto" w:fill="auto"/>
            <w:vAlign w:val="center"/>
          </w:tcPr>
          <w:p w14:paraId="7B94AC1F" w14:textId="77777777" w:rsidR="00E01366" w:rsidRPr="002E31DA" w:rsidRDefault="00E01366" w:rsidP="000231F2">
            <w:pPr>
              <w:rPr>
                <w:rFonts w:ascii="Arial" w:hAnsi="Arial" w:cs="Arial"/>
                <w:sz w:val="16"/>
                <w:szCs w:val="16"/>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19C1A20" w14:textId="77777777" w:rsidR="00E01366" w:rsidRPr="002E31DA" w:rsidRDefault="00E01366" w:rsidP="000231F2">
            <w:pPr>
              <w:rPr>
                <w:rFonts w:ascii="Arial" w:hAnsi="Arial" w:cs="Arial"/>
                <w:sz w:val="16"/>
                <w:szCs w:val="16"/>
              </w:rPr>
            </w:pPr>
            <w:r w:rsidRPr="002E31DA">
              <w:rPr>
                <w:rFonts w:ascii="Arial" w:hAnsi="Arial" w:cs="Arial"/>
                <w:sz w:val="16"/>
                <w:szCs w:val="16"/>
              </w:rPr>
              <w:t>ID</w:t>
            </w:r>
          </w:p>
        </w:tc>
        <w:tc>
          <w:tcPr>
            <w:tcW w:w="3157" w:type="dxa"/>
            <w:tcBorders>
              <w:top w:val="single" w:sz="4" w:space="0" w:color="auto"/>
              <w:left w:val="single" w:sz="4" w:space="0" w:color="auto"/>
              <w:bottom w:val="single" w:sz="4" w:space="0" w:color="auto"/>
              <w:right w:val="single" w:sz="4" w:space="0" w:color="auto"/>
            </w:tcBorders>
            <w:shd w:val="clear" w:color="auto" w:fill="auto"/>
            <w:vAlign w:val="center"/>
          </w:tcPr>
          <w:p w14:paraId="2CA2F0A7" w14:textId="77777777" w:rsidR="00E01366" w:rsidRPr="002E31DA" w:rsidRDefault="00E01366" w:rsidP="000231F2">
            <w:pPr>
              <w:rPr>
                <w:rFonts w:ascii="Arial" w:hAnsi="Arial" w:cs="Arial"/>
                <w:sz w:val="16"/>
                <w:szCs w:val="16"/>
              </w:rPr>
            </w:pPr>
          </w:p>
        </w:tc>
      </w:tr>
    </w:tbl>
    <w:p w14:paraId="648C5075" w14:textId="0786E3B6" w:rsidR="00E01366" w:rsidRPr="002E31DA" w:rsidRDefault="00E01366">
      <w:pPr>
        <w:rPr>
          <w:rFonts w:ascii="Arial" w:hAnsi="Arial" w:cs="Arial"/>
          <w:sz w:val="20"/>
          <w:szCs w:val="20"/>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580"/>
        <w:gridCol w:w="650"/>
        <w:gridCol w:w="681"/>
        <w:gridCol w:w="591"/>
        <w:gridCol w:w="709"/>
        <w:gridCol w:w="624"/>
        <w:gridCol w:w="579"/>
        <w:gridCol w:w="603"/>
        <w:gridCol w:w="595"/>
        <w:gridCol w:w="592"/>
        <w:gridCol w:w="593"/>
        <w:gridCol w:w="592"/>
        <w:gridCol w:w="592"/>
        <w:gridCol w:w="767"/>
      </w:tblGrid>
      <w:tr w:rsidR="00C15DC8" w:rsidRPr="002E31DA" w14:paraId="30E58C15" w14:textId="77777777" w:rsidTr="00501759">
        <w:trPr>
          <w:trHeight w:val="322"/>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0BA29E1" w14:textId="77777777" w:rsidR="00E01366" w:rsidRPr="002E31DA" w:rsidRDefault="00E01366" w:rsidP="000231F2">
            <w:pPr>
              <w:rPr>
                <w:rFonts w:ascii="Arial" w:hAnsi="Arial" w:cs="Arial"/>
                <w:b/>
                <w:bCs/>
                <w:szCs w:val="20"/>
              </w:rPr>
            </w:pPr>
            <w:r w:rsidRPr="002E31DA">
              <w:rPr>
                <w:rFonts w:ascii="Arial" w:hAnsi="Arial" w:cs="Arial"/>
                <w:b/>
                <w:bCs/>
                <w:szCs w:val="20"/>
              </w:rPr>
              <w:t>Competencia del Servicio</w:t>
            </w:r>
          </w:p>
        </w:tc>
      </w:tr>
      <w:tr w:rsidR="00C15DC8" w:rsidRPr="002E31DA" w14:paraId="66ECB723" w14:textId="77777777" w:rsidTr="00501759">
        <w:trPr>
          <w:trHeight w:val="115"/>
        </w:trPr>
        <w:tc>
          <w:tcPr>
            <w:tcW w:w="1980" w:type="dxa"/>
            <w:gridSpan w:val="3"/>
            <w:tcBorders>
              <w:top w:val="single" w:sz="4" w:space="0" w:color="auto"/>
              <w:left w:val="single" w:sz="4" w:space="0" w:color="auto"/>
            </w:tcBorders>
            <w:vAlign w:val="center"/>
          </w:tcPr>
          <w:p w14:paraId="713BD878" w14:textId="77777777" w:rsidR="00E01366" w:rsidRPr="002E31DA" w:rsidRDefault="00E01366" w:rsidP="000231F2">
            <w:pPr>
              <w:jc w:val="center"/>
              <w:rPr>
                <w:rFonts w:ascii="Arial" w:hAnsi="Arial" w:cs="Arial"/>
                <w:b/>
                <w:bCs/>
                <w:sz w:val="16"/>
                <w:szCs w:val="18"/>
              </w:rPr>
            </w:pPr>
            <w:r w:rsidRPr="002E31DA">
              <w:rPr>
                <w:rFonts w:ascii="Arial" w:hAnsi="Arial" w:cs="Arial"/>
                <w:b/>
                <w:bCs/>
                <w:sz w:val="16"/>
                <w:szCs w:val="18"/>
              </w:rPr>
              <w:t>Gobierno Nacional</w:t>
            </w:r>
          </w:p>
        </w:tc>
        <w:tc>
          <w:tcPr>
            <w:tcW w:w="1981" w:type="dxa"/>
            <w:gridSpan w:val="3"/>
            <w:tcBorders>
              <w:top w:val="single" w:sz="4" w:space="0" w:color="auto"/>
            </w:tcBorders>
            <w:vAlign w:val="center"/>
          </w:tcPr>
          <w:p w14:paraId="1FEC6171" w14:textId="77777777" w:rsidR="00E01366" w:rsidRPr="002E31DA" w:rsidRDefault="00E01366" w:rsidP="000231F2">
            <w:pPr>
              <w:jc w:val="center"/>
              <w:rPr>
                <w:rFonts w:ascii="Arial" w:hAnsi="Arial" w:cs="Arial"/>
                <w:b/>
                <w:bCs/>
                <w:sz w:val="16"/>
                <w:szCs w:val="18"/>
              </w:rPr>
            </w:pPr>
            <w:r w:rsidRPr="002E31DA">
              <w:rPr>
                <w:rFonts w:ascii="Arial" w:hAnsi="Arial" w:cs="Arial"/>
                <w:b/>
                <w:bCs/>
                <w:sz w:val="16"/>
                <w:szCs w:val="18"/>
              </w:rPr>
              <w:t>Gobierno Regional</w:t>
            </w:r>
          </w:p>
        </w:tc>
        <w:tc>
          <w:tcPr>
            <w:tcW w:w="1806" w:type="dxa"/>
            <w:gridSpan w:val="3"/>
            <w:tcBorders>
              <w:top w:val="single" w:sz="4" w:space="0" w:color="auto"/>
            </w:tcBorders>
            <w:vAlign w:val="center"/>
          </w:tcPr>
          <w:p w14:paraId="4A62EA9E" w14:textId="77777777" w:rsidR="00E01366" w:rsidRPr="002E31DA" w:rsidRDefault="00E01366" w:rsidP="000231F2">
            <w:pPr>
              <w:jc w:val="center"/>
              <w:rPr>
                <w:rFonts w:ascii="Arial" w:hAnsi="Arial" w:cs="Arial"/>
                <w:b/>
                <w:bCs/>
                <w:sz w:val="16"/>
                <w:szCs w:val="18"/>
              </w:rPr>
            </w:pPr>
            <w:r w:rsidRPr="002E31DA">
              <w:rPr>
                <w:rFonts w:ascii="Arial" w:hAnsi="Arial" w:cs="Arial"/>
                <w:b/>
                <w:bCs/>
                <w:sz w:val="16"/>
                <w:szCs w:val="18"/>
              </w:rPr>
              <w:t>Gobierno Local</w:t>
            </w:r>
          </w:p>
          <w:p w14:paraId="4FCF7C93" w14:textId="77777777" w:rsidR="00E01366" w:rsidRPr="002E31DA" w:rsidRDefault="00E01366" w:rsidP="000231F2">
            <w:pPr>
              <w:jc w:val="center"/>
              <w:rPr>
                <w:rFonts w:ascii="Arial" w:hAnsi="Arial" w:cs="Arial"/>
                <w:b/>
                <w:bCs/>
                <w:sz w:val="16"/>
                <w:szCs w:val="18"/>
              </w:rPr>
            </w:pPr>
            <w:proofErr w:type="spellStart"/>
            <w:r w:rsidRPr="002E31DA">
              <w:rPr>
                <w:rFonts w:ascii="Arial" w:hAnsi="Arial" w:cs="Arial"/>
                <w:b/>
                <w:bCs/>
                <w:sz w:val="16"/>
                <w:szCs w:val="18"/>
              </w:rPr>
              <w:t>Municip</w:t>
            </w:r>
            <w:proofErr w:type="spellEnd"/>
            <w:r w:rsidRPr="002E31DA">
              <w:rPr>
                <w:rFonts w:ascii="Arial" w:hAnsi="Arial" w:cs="Arial"/>
                <w:b/>
                <w:bCs/>
                <w:sz w:val="16"/>
                <w:szCs w:val="18"/>
              </w:rPr>
              <w:t>. Provincial</w:t>
            </w:r>
          </w:p>
        </w:tc>
        <w:tc>
          <w:tcPr>
            <w:tcW w:w="1780" w:type="dxa"/>
            <w:gridSpan w:val="3"/>
            <w:tcBorders>
              <w:top w:val="single" w:sz="4" w:space="0" w:color="auto"/>
            </w:tcBorders>
            <w:vAlign w:val="center"/>
          </w:tcPr>
          <w:p w14:paraId="65EAF0B0" w14:textId="77777777" w:rsidR="00E01366" w:rsidRPr="002E31DA" w:rsidRDefault="00E01366" w:rsidP="000231F2">
            <w:pPr>
              <w:jc w:val="center"/>
              <w:rPr>
                <w:rFonts w:ascii="Arial" w:hAnsi="Arial" w:cs="Arial"/>
                <w:b/>
                <w:bCs/>
                <w:sz w:val="16"/>
                <w:szCs w:val="18"/>
              </w:rPr>
            </w:pPr>
            <w:r w:rsidRPr="002E31DA">
              <w:rPr>
                <w:rFonts w:ascii="Arial" w:hAnsi="Arial" w:cs="Arial"/>
                <w:b/>
                <w:bCs/>
                <w:sz w:val="16"/>
                <w:szCs w:val="18"/>
              </w:rPr>
              <w:t>Gobierno Local</w:t>
            </w:r>
          </w:p>
          <w:p w14:paraId="01206F40" w14:textId="77777777" w:rsidR="00E01366" w:rsidRPr="002E31DA" w:rsidRDefault="00E01366" w:rsidP="000231F2">
            <w:pPr>
              <w:jc w:val="center"/>
              <w:rPr>
                <w:rFonts w:ascii="Arial" w:hAnsi="Arial" w:cs="Arial"/>
                <w:b/>
                <w:bCs/>
                <w:sz w:val="16"/>
                <w:szCs w:val="18"/>
              </w:rPr>
            </w:pPr>
            <w:proofErr w:type="spellStart"/>
            <w:r w:rsidRPr="002E31DA">
              <w:rPr>
                <w:rFonts w:ascii="Arial" w:hAnsi="Arial" w:cs="Arial"/>
                <w:b/>
                <w:bCs/>
                <w:sz w:val="16"/>
                <w:szCs w:val="18"/>
              </w:rPr>
              <w:t>Municip</w:t>
            </w:r>
            <w:proofErr w:type="spellEnd"/>
            <w:r w:rsidRPr="002E31DA">
              <w:rPr>
                <w:rFonts w:ascii="Arial" w:hAnsi="Arial" w:cs="Arial"/>
                <w:b/>
                <w:bCs/>
                <w:sz w:val="16"/>
                <w:szCs w:val="18"/>
              </w:rPr>
              <w:t>. Distrital</w:t>
            </w:r>
          </w:p>
        </w:tc>
        <w:tc>
          <w:tcPr>
            <w:tcW w:w="1951" w:type="dxa"/>
            <w:gridSpan w:val="3"/>
            <w:tcBorders>
              <w:top w:val="single" w:sz="4" w:space="0" w:color="auto"/>
              <w:right w:val="single" w:sz="4" w:space="0" w:color="auto"/>
            </w:tcBorders>
            <w:vAlign w:val="center"/>
          </w:tcPr>
          <w:p w14:paraId="54589F86" w14:textId="77777777" w:rsidR="00E01366" w:rsidRPr="002E31DA" w:rsidRDefault="00E01366" w:rsidP="000231F2">
            <w:pPr>
              <w:jc w:val="center"/>
              <w:rPr>
                <w:rFonts w:ascii="Arial" w:hAnsi="Arial" w:cs="Arial"/>
                <w:b/>
                <w:bCs/>
                <w:sz w:val="16"/>
                <w:szCs w:val="18"/>
              </w:rPr>
            </w:pPr>
            <w:r w:rsidRPr="002E31DA">
              <w:rPr>
                <w:rFonts w:ascii="Arial" w:hAnsi="Arial" w:cs="Arial"/>
                <w:b/>
                <w:bCs/>
                <w:sz w:val="16"/>
                <w:szCs w:val="18"/>
              </w:rPr>
              <w:t>Empresa</w:t>
            </w:r>
          </w:p>
        </w:tc>
      </w:tr>
      <w:tr w:rsidR="00C15DC8" w:rsidRPr="002E31DA" w14:paraId="07F29AB9" w14:textId="77777777" w:rsidTr="00501759">
        <w:trPr>
          <w:trHeight w:val="84"/>
        </w:trPr>
        <w:tc>
          <w:tcPr>
            <w:tcW w:w="750" w:type="dxa"/>
            <w:tcBorders>
              <w:left w:val="single" w:sz="4" w:space="0" w:color="auto"/>
            </w:tcBorders>
            <w:vAlign w:val="center"/>
          </w:tcPr>
          <w:p w14:paraId="223AAEC1" w14:textId="77777777" w:rsidR="00E01366" w:rsidRPr="002E31DA" w:rsidRDefault="00E01366" w:rsidP="000231F2">
            <w:pPr>
              <w:rPr>
                <w:rFonts w:ascii="Arial" w:hAnsi="Arial" w:cs="Arial"/>
                <w:sz w:val="16"/>
                <w:szCs w:val="16"/>
              </w:rPr>
            </w:pPr>
          </w:p>
        </w:tc>
        <w:tc>
          <w:tcPr>
            <w:tcW w:w="580" w:type="dxa"/>
            <w:tcBorders>
              <w:bottom w:val="single" w:sz="4" w:space="0" w:color="auto"/>
            </w:tcBorders>
            <w:vAlign w:val="center"/>
          </w:tcPr>
          <w:p w14:paraId="404EF150" w14:textId="77777777" w:rsidR="00E01366" w:rsidRPr="002E31DA" w:rsidRDefault="00E01366" w:rsidP="000231F2">
            <w:pPr>
              <w:rPr>
                <w:rFonts w:ascii="Arial" w:hAnsi="Arial" w:cs="Arial"/>
                <w:sz w:val="16"/>
                <w:szCs w:val="16"/>
              </w:rPr>
            </w:pPr>
          </w:p>
        </w:tc>
        <w:tc>
          <w:tcPr>
            <w:tcW w:w="650" w:type="dxa"/>
            <w:vAlign w:val="center"/>
          </w:tcPr>
          <w:p w14:paraId="2F8C63AE" w14:textId="77777777" w:rsidR="00E01366" w:rsidRPr="002E31DA" w:rsidRDefault="00E01366" w:rsidP="000231F2">
            <w:pPr>
              <w:rPr>
                <w:rFonts w:ascii="Arial" w:hAnsi="Arial" w:cs="Arial"/>
                <w:sz w:val="16"/>
                <w:szCs w:val="18"/>
              </w:rPr>
            </w:pPr>
          </w:p>
        </w:tc>
        <w:tc>
          <w:tcPr>
            <w:tcW w:w="681" w:type="dxa"/>
            <w:vAlign w:val="center"/>
          </w:tcPr>
          <w:p w14:paraId="37D8C6FB" w14:textId="77777777" w:rsidR="00E01366" w:rsidRPr="002E31DA" w:rsidRDefault="00E01366" w:rsidP="000231F2">
            <w:pPr>
              <w:rPr>
                <w:rFonts w:ascii="Arial" w:hAnsi="Arial" w:cs="Arial"/>
                <w:sz w:val="16"/>
                <w:szCs w:val="18"/>
              </w:rPr>
            </w:pPr>
          </w:p>
        </w:tc>
        <w:tc>
          <w:tcPr>
            <w:tcW w:w="591" w:type="dxa"/>
            <w:tcBorders>
              <w:bottom w:val="single" w:sz="4" w:space="0" w:color="auto"/>
            </w:tcBorders>
            <w:vAlign w:val="center"/>
          </w:tcPr>
          <w:p w14:paraId="12564A93" w14:textId="77777777" w:rsidR="00E01366" w:rsidRPr="002E31DA" w:rsidRDefault="00E01366" w:rsidP="000231F2">
            <w:pPr>
              <w:rPr>
                <w:rFonts w:ascii="Arial" w:hAnsi="Arial" w:cs="Arial"/>
                <w:sz w:val="16"/>
                <w:szCs w:val="18"/>
              </w:rPr>
            </w:pPr>
          </w:p>
        </w:tc>
        <w:tc>
          <w:tcPr>
            <w:tcW w:w="709" w:type="dxa"/>
            <w:vAlign w:val="center"/>
          </w:tcPr>
          <w:p w14:paraId="1377B682" w14:textId="77777777" w:rsidR="00E01366" w:rsidRPr="002E31DA" w:rsidRDefault="00E01366" w:rsidP="000231F2">
            <w:pPr>
              <w:rPr>
                <w:rFonts w:ascii="Arial" w:hAnsi="Arial" w:cs="Arial"/>
                <w:sz w:val="16"/>
                <w:szCs w:val="18"/>
              </w:rPr>
            </w:pPr>
          </w:p>
        </w:tc>
        <w:tc>
          <w:tcPr>
            <w:tcW w:w="624" w:type="dxa"/>
            <w:vAlign w:val="center"/>
          </w:tcPr>
          <w:p w14:paraId="72A1492E" w14:textId="77777777" w:rsidR="00E01366" w:rsidRPr="002E31DA" w:rsidRDefault="00E01366" w:rsidP="000231F2">
            <w:pPr>
              <w:rPr>
                <w:rFonts w:ascii="Arial" w:hAnsi="Arial" w:cs="Arial"/>
                <w:sz w:val="16"/>
                <w:szCs w:val="18"/>
              </w:rPr>
            </w:pPr>
          </w:p>
        </w:tc>
        <w:tc>
          <w:tcPr>
            <w:tcW w:w="579" w:type="dxa"/>
            <w:tcBorders>
              <w:bottom w:val="single" w:sz="4" w:space="0" w:color="auto"/>
            </w:tcBorders>
            <w:vAlign w:val="center"/>
          </w:tcPr>
          <w:p w14:paraId="30814D24" w14:textId="77777777" w:rsidR="00E01366" w:rsidRPr="002E31DA" w:rsidRDefault="00E01366" w:rsidP="000231F2">
            <w:pPr>
              <w:rPr>
                <w:rFonts w:ascii="Arial" w:hAnsi="Arial" w:cs="Arial"/>
                <w:sz w:val="16"/>
                <w:szCs w:val="18"/>
              </w:rPr>
            </w:pPr>
          </w:p>
        </w:tc>
        <w:tc>
          <w:tcPr>
            <w:tcW w:w="603" w:type="dxa"/>
            <w:vAlign w:val="center"/>
          </w:tcPr>
          <w:p w14:paraId="6B79396A" w14:textId="77777777" w:rsidR="00E01366" w:rsidRPr="002E31DA" w:rsidRDefault="00E01366" w:rsidP="000231F2">
            <w:pPr>
              <w:rPr>
                <w:rFonts w:ascii="Arial" w:hAnsi="Arial" w:cs="Arial"/>
                <w:sz w:val="16"/>
                <w:szCs w:val="18"/>
              </w:rPr>
            </w:pPr>
          </w:p>
        </w:tc>
        <w:tc>
          <w:tcPr>
            <w:tcW w:w="595" w:type="dxa"/>
            <w:vAlign w:val="center"/>
          </w:tcPr>
          <w:p w14:paraId="249C8175" w14:textId="77777777" w:rsidR="00E01366" w:rsidRPr="002E31DA" w:rsidRDefault="00E01366" w:rsidP="000231F2">
            <w:pPr>
              <w:rPr>
                <w:rFonts w:ascii="Arial" w:hAnsi="Arial" w:cs="Arial"/>
                <w:sz w:val="16"/>
                <w:szCs w:val="18"/>
              </w:rPr>
            </w:pPr>
          </w:p>
        </w:tc>
        <w:tc>
          <w:tcPr>
            <w:tcW w:w="592" w:type="dxa"/>
            <w:tcBorders>
              <w:bottom w:val="single" w:sz="4" w:space="0" w:color="auto"/>
            </w:tcBorders>
            <w:vAlign w:val="center"/>
          </w:tcPr>
          <w:p w14:paraId="231F395A" w14:textId="77777777" w:rsidR="00E01366" w:rsidRPr="002E31DA" w:rsidRDefault="00E01366" w:rsidP="000231F2">
            <w:pPr>
              <w:rPr>
                <w:rFonts w:ascii="Arial" w:hAnsi="Arial" w:cs="Arial"/>
                <w:sz w:val="16"/>
                <w:szCs w:val="18"/>
              </w:rPr>
            </w:pPr>
          </w:p>
        </w:tc>
        <w:tc>
          <w:tcPr>
            <w:tcW w:w="593" w:type="dxa"/>
            <w:vAlign w:val="center"/>
          </w:tcPr>
          <w:p w14:paraId="7FE7EEFC" w14:textId="77777777" w:rsidR="00E01366" w:rsidRPr="002E31DA" w:rsidRDefault="00E01366" w:rsidP="000231F2">
            <w:pPr>
              <w:rPr>
                <w:rFonts w:ascii="Arial" w:hAnsi="Arial" w:cs="Arial"/>
                <w:sz w:val="16"/>
                <w:szCs w:val="18"/>
              </w:rPr>
            </w:pPr>
          </w:p>
        </w:tc>
        <w:tc>
          <w:tcPr>
            <w:tcW w:w="592" w:type="dxa"/>
            <w:vAlign w:val="center"/>
          </w:tcPr>
          <w:p w14:paraId="7FC829B6" w14:textId="77777777" w:rsidR="00E01366" w:rsidRPr="002E31DA" w:rsidRDefault="00E01366" w:rsidP="000231F2">
            <w:pPr>
              <w:rPr>
                <w:rFonts w:ascii="Arial" w:hAnsi="Arial" w:cs="Arial"/>
                <w:sz w:val="16"/>
                <w:szCs w:val="18"/>
              </w:rPr>
            </w:pPr>
          </w:p>
        </w:tc>
        <w:tc>
          <w:tcPr>
            <w:tcW w:w="592" w:type="dxa"/>
            <w:tcBorders>
              <w:bottom w:val="single" w:sz="4" w:space="0" w:color="auto"/>
            </w:tcBorders>
            <w:vAlign w:val="center"/>
          </w:tcPr>
          <w:p w14:paraId="3CF5282C" w14:textId="77777777" w:rsidR="00E01366" w:rsidRPr="002E31DA" w:rsidRDefault="00E01366" w:rsidP="000231F2">
            <w:pPr>
              <w:rPr>
                <w:rFonts w:ascii="Arial" w:hAnsi="Arial" w:cs="Arial"/>
                <w:sz w:val="16"/>
                <w:szCs w:val="18"/>
              </w:rPr>
            </w:pPr>
          </w:p>
        </w:tc>
        <w:tc>
          <w:tcPr>
            <w:tcW w:w="767" w:type="dxa"/>
            <w:tcBorders>
              <w:right w:val="single" w:sz="4" w:space="0" w:color="auto"/>
            </w:tcBorders>
            <w:vAlign w:val="center"/>
          </w:tcPr>
          <w:p w14:paraId="2412FFF8" w14:textId="77777777" w:rsidR="00E01366" w:rsidRPr="002E31DA" w:rsidRDefault="00E01366" w:rsidP="000231F2">
            <w:pPr>
              <w:rPr>
                <w:rFonts w:ascii="Arial" w:hAnsi="Arial" w:cs="Arial"/>
                <w:sz w:val="16"/>
                <w:szCs w:val="18"/>
              </w:rPr>
            </w:pPr>
          </w:p>
        </w:tc>
      </w:tr>
      <w:tr w:rsidR="00C15DC8" w:rsidRPr="00C15DC8" w14:paraId="5F1512DC" w14:textId="77777777" w:rsidTr="00501759">
        <w:trPr>
          <w:trHeight w:val="500"/>
        </w:trPr>
        <w:tc>
          <w:tcPr>
            <w:tcW w:w="750" w:type="dxa"/>
            <w:tcBorders>
              <w:left w:val="single" w:sz="4" w:space="0" w:color="auto"/>
              <w:right w:val="single" w:sz="4" w:space="0" w:color="auto"/>
            </w:tcBorders>
            <w:shd w:val="clear" w:color="auto" w:fill="auto"/>
            <w:vAlign w:val="center"/>
          </w:tcPr>
          <w:p w14:paraId="01266595" w14:textId="77777777" w:rsidR="00E01366" w:rsidRPr="002E31DA" w:rsidRDefault="00E01366" w:rsidP="000231F2">
            <w:pPr>
              <w:rPr>
                <w:rFonts w:ascii="Arial" w:hAnsi="Arial" w:cs="Arial"/>
                <w:sz w:val="18"/>
                <w:szCs w:val="16"/>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913A559" w14:textId="09EBA5FD" w:rsidR="00E01366" w:rsidRPr="002E31DA" w:rsidRDefault="00871BC1" w:rsidP="000231F2">
            <w:pPr>
              <w:jc w:val="center"/>
              <w:rPr>
                <w:rFonts w:ascii="Arial" w:hAnsi="Arial" w:cs="Arial"/>
                <w:sz w:val="18"/>
                <w:szCs w:val="16"/>
              </w:rPr>
            </w:pPr>
            <w:r w:rsidRPr="002E31DA">
              <w:rPr>
                <w:rFonts w:ascii="Arial" w:hAnsi="Arial" w:cs="Arial"/>
                <w:sz w:val="18"/>
                <w:szCs w:val="16"/>
              </w:rPr>
              <w:t>SI</w:t>
            </w:r>
          </w:p>
        </w:tc>
        <w:tc>
          <w:tcPr>
            <w:tcW w:w="650" w:type="dxa"/>
            <w:tcBorders>
              <w:left w:val="single" w:sz="4" w:space="0" w:color="auto"/>
            </w:tcBorders>
            <w:shd w:val="clear" w:color="auto" w:fill="auto"/>
            <w:vAlign w:val="center"/>
          </w:tcPr>
          <w:p w14:paraId="41BB2538" w14:textId="77777777" w:rsidR="00E01366" w:rsidRPr="002E31DA" w:rsidRDefault="00E01366" w:rsidP="000231F2">
            <w:pPr>
              <w:jc w:val="center"/>
              <w:rPr>
                <w:rFonts w:ascii="Arial" w:hAnsi="Arial" w:cs="Arial"/>
                <w:sz w:val="18"/>
                <w:szCs w:val="18"/>
              </w:rPr>
            </w:pPr>
          </w:p>
        </w:tc>
        <w:tc>
          <w:tcPr>
            <w:tcW w:w="681" w:type="dxa"/>
            <w:tcBorders>
              <w:right w:val="single" w:sz="4" w:space="0" w:color="auto"/>
            </w:tcBorders>
            <w:shd w:val="clear" w:color="auto" w:fill="auto"/>
            <w:vAlign w:val="center"/>
          </w:tcPr>
          <w:p w14:paraId="438FAB23" w14:textId="77777777" w:rsidR="00E01366" w:rsidRPr="002E31DA" w:rsidRDefault="00E01366" w:rsidP="000231F2">
            <w:pPr>
              <w:jc w:val="center"/>
              <w:rPr>
                <w:rFonts w:ascii="Arial" w:hAnsi="Arial" w:cs="Arial"/>
                <w:sz w:val="18"/>
                <w:szCs w:val="18"/>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9A536BA" w14:textId="5BC7F2F9" w:rsidR="00E01366" w:rsidRPr="002E31DA" w:rsidRDefault="00871BC1" w:rsidP="000231F2">
            <w:pPr>
              <w:jc w:val="center"/>
              <w:rPr>
                <w:rFonts w:ascii="Arial" w:hAnsi="Arial" w:cs="Arial"/>
                <w:sz w:val="18"/>
                <w:szCs w:val="18"/>
              </w:rPr>
            </w:pPr>
            <w:r w:rsidRPr="002E31DA">
              <w:rPr>
                <w:rFonts w:ascii="Arial" w:hAnsi="Arial" w:cs="Arial"/>
                <w:sz w:val="18"/>
                <w:szCs w:val="18"/>
              </w:rPr>
              <w:t>SI</w:t>
            </w:r>
          </w:p>
        </w:tc>
        <w:tc>
          <w:tcPr>
            <w:tcW w:w="709" w:type="dxa"/>
            <w:tcBorders>
              <w:left w:val="single" w:sz="4" w:space="0" w:color="auto"/>
            </w:tcBorders>
            <w:shd w:val="clear" w:color="auto" w:fill="auto"/>
            <w:vAlign w:val="center"/>
          </w:tcPr>
          <w:p w14:paraId="523175AE" w14:textId="77777777" w:rsidR="00E01366" w:rsidRPr="002E31DA" w:rsidRDefault="00E01366" w:rsidP="000231F2">
            <w:pPr>
              <w:jc w:val="center"/>
              <w:rPr>
                <w:rFonts w:ascii="Arial" w:hAnsi="Arial" w:cs="Arial"/>
                <w:sz w:val="18"/>
                <w:szCs w:val="18"/>
              </w:rPr>
            </w:pPr>
          </w:p>
        </w:tc>
        <w:tc>
          <w:tcPr>
            <w:tcW w:w="624" w:type="dxa"/>
            <w:tcBorders>
              <w:right w:val="single" w:sz="4" w:space="0" w:color="auto"/>
            </w:tcBorders>
            <w:shd w:val="clear" w:color="auto" w:fill="auto"/>
            <w:vAlign w:val="center"/>
          </w:tcPr>
          <w:p w14:paraId="4E7C74A5" w14:textId="77777777" w:rsidR="00E01366" w:rsidRPr="002E31DA" w:rsidRDefault="00E01366" w:rsidP="000231F2">
            <w:pPr>
              <w:jc w:val="center"/>
              <w:rPr>
                <w:rFonts w:ascii="Arial" w:hAnsi="Arial" w:cs="Arial"/>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93AF04" w14:textId="1B543C81" w:rsidR="00E01366" w:rsidRPr="002E31DA" w:rsidRDefault="00C15DC8" w:rsidP="000231F2">
            <w:pPr>
              <w:jc w:val="center"/>
              <w:rPr>
                <w:rFonts w:ascii="Arial" w:hAnsi="Arial" w:cs="Arial"/>
                <w:sz w:val="18"/>
                <w:szCs w:val="18"/>
              </w:rPr>
            </w:pPr>
            <w:r w:rsidRPr="002E31DA">
              <w:rPr>
                <w:rFonts w:ascii="Arial" w:hAnsi="Arial" w:cs="Arial"/>
                <w:sz w:val="18"/>
                <w:szCs w:val="18"/>
              </w:rPr>
              <w:t>NO</w:t>
            </w:r>
          </w:p>
        </w:tc>
        <w:tc>
          <w:tcPr>
            <w:tcW w:w="603" w:type="dxa"/>
            <w:tcBorders>
              <w:left w:val="single" w:sz="4" w:space="0" w:color="auto"/>
            </w:tcBorders>
            <w:shd w:val="clear" w:color="auto" w:fill="auto"/>
            <w:vAlign w:val="center"/>
          </w:tcPr>
          <w:p w14:paraId="17ADF476" w14:textId="77777777" w:rsidR="00E01366" w:rsidRPr="002E31DA" w:rsidRDefault="00E01366" w:rsidP="000231F2">
            <w:pPr>
              <w:jc w:val="center"/>
              <w:rPr>
                <w:rFonts w:ascii="Arial" w:hAnsi="Arial" w:cs="Arial"/>
                <w:sz w:val="18"/>
                <w:szCs w:val="18"/>
              </w:rPr>
            </w:pPr>
          </w:p>
        </w:tc>
        <w:tc>
          <w:tcPr>
            <w:tcW w:w="595" w:type="dxa"/>
            <w:tcBorders>
              <w:right w:val="single" w:sz="4" w:space="0" w:color="auto"/>
            </w:tcBorders>
            <w:shd w:val="clear" w:color="auto" w:fill="auto"/>
            <w:vAlign w:val="center"/>
          </w:tcPr>
          <w:p w14:paraId="07881BB4" w14:textId="77777777" w:rsidR="00E01366" w:rsidRPr="002E31DA" w:rsidRDefault="00E01366" w:rsidP="000231F2">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0B9B6AC9" w14:textId="2B8E0959" w:rsidR="00E01366" w:rsidRPr="002E31DA" w:rsidRDefault="00C15DC8" w:rsidP="000231F2">
            <w:pPr>
              <w:jc w:val="center"/>
              <w:rPr>
                <w:rFonts w:ascii="Arial" w:hAnsi="Arial" w:cs="Arial"/>
                <w:sz w:val="18"/>
                <w:szCs w:val="18"/>
              </w:rPr>
            </w:pPr>
            <w:r w:rsidRPr="002E31DA">
              <w:rPr>
                <w:rFonts w:ascii="Arial" w:hAnsi="Arial" w:cs="Arial"/>
                <w:sz w:val="18"/>
                <w:szCs w:val="18"/>
              </w:rPr>
              <w:t>NO</w:t>
            </w:r>
          </w:p>
        </w:tc>
        <w:tc>
          <w:tcPr>
            <w:tcW w:w="593" w:type="dxa"/>
            <w:tcBorders>
              <w:left w:val="single" w:sz="4" w:space="0" w:color="auto"/>
            </w:tcBorders>
            <w:shd w:val="clear" w:color="auto" w:fill="auto"/>
            <w:vAlign w:val="center"/>
          </w:tcPr>
          <w:p w14:paraId="645C62CE" w14:textId="77777777" w:rsidR="00E01366" w:rsidRPr="002E31DA" w:rsidRDefault="00E01366" w:rsidP="000231F2">
            <w:pPr>
              <w:jc w:val="center"/>
              <w:rPr>
                <w:rFonts w:ascii="Arial" w:hAnsi="Arial" w:cs="Arial"/>
                <w:sz w:val="18"/>
                <w:szCs w:val="18"/>
              </w:rPr>
            </w:pPr>
          </w:p>
        </w:tc>
        <w:tc>
          <w:tcPr>
            <w:tcW w:w="592" w:type="dxa"/>
            <w:tcBorders>
              <w:left w:val="nil"/>
              <w:right w:val="single" w:sz="4" w:space="0" w:color="auto"/>
            </w:tcBorders>
            <w:shd w:val="clear" w:color="auto" w:fill="auto"/>
            <w:vAlign w:val="center"/>
          </w:tcPr>
          <w:p w14:paraId="4747651B" w14:textId="77777777" w:rsidR="00E01366" w:rsidRPr="002E31DA" w:rsidRDefault="00E01366" w:rsidP="000231F2">
            <w:pPr>
              <w:jc w:val="center"/>
              <w:rPr>
                <w:rFonts w:ascii="Arial" w:hAnsi="Arial" w:cs="Arial"/>
                <w:sz w:val="18"/>
                <w:szCs w:val="18"/>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14:paraId="18FEA8B5" w14:textId="4FF38681" w:rsidR="00E01366" w:rsidRPr="002E31DA" w:rsidRDefault="00871BC1" w:rsidP="000231F2">
            <w:pPr>
              <w:jc w:val="center"/>
              <w:rPr>
                <w:rFonts w:ascii="Arial" w:hAnsi="Arial" w:cs="Arial"/>
                <w:sz w:val="18"/>
                <w:szCs w:val="18"/>
              </w:rPr>
            </w:pPr>
            <w:r w:rsidRPr="002E31DA">
              <w:rPr>
                <w:rFonts w:ascii="Arial" w:hAnsi="Arial" w:cs="Arial"/>
                <w:sz w:val="18"/>
                <w:szCs w:val="18"/>
              </w:rPr>
              <w:t>NO</w:t>
            </w:r>
          </w:p>
        </w:tc>
        <w:tc>
          <w:tcPr>
            <w:tcW w:w="767" w:type="dxa"/>
            <w:tcBorders>
              <w:left w:val="single" w:sz="4" w:space="0" w:color="auto"/>
              <w:right w:val="single" w:sz="4" w:space="0" w:color="auto"/>
            </w:tcBorders>
            <w:shd w:val="clear" w:color="auto" w:fill="auto"/>
            <w:vAlign w:val="center"/>
          </w:tcPr>
          <w:p w14:paraId="7C9AF0CE" w14:textId="77777777" w:rsidR="00E01366" w:rsidRPr="00C15DC8" w:rsidRDefault="00E01366" w:rsidP="000231F2">
            <w:pPr>
              <w:jc w:val="center"/>
              <w:rPr>
                <w:rFonts w:ascii="Arial" w:hAnsi="Arial" w:cs="Arial"/>
                <w:sz w:val="18"/>
                <w:szCs w:val="18"/>
              </w:rPr>
            </w:pPr>
          </w:p>
        </w:tc>
      </w:tr>
      <w:tr w:rsidR="00C15DC8" w:rsidRPr="00C15DC8" w14:paraId="11DA33B4" w14:textId="77777777" w:rsidTr="00501759">
        <w:trPr>
          <w:trHeight w:val="236"/>
        </w:trPr>
        <w:tc>
          <w:tcPr>
            <w:tcW w:w="750" w:type="dxa"/>
            <w:tcBorders>
              <w:left w:val="single" w:sz="4" w:space="0" w:color="auto"/>
              <w:bottom w:val="single" w:sz="4" w:space="0" w:color="auto"/>
            </w:tcBorders>
            <w:shd w:val="clear" w:color="auto" w:fill="auto"/>
            <w:vAlign w:val="center"/>
          </w:tcPr>
          <w:p w14:paraId="46815DDC" w14:textId="77777777" w:rsidR="00E01366" w:rsidRPr="00C15DC8" w:rsidRDefault="00E01366" w:rsidP="000231F2">
            <w:pPr>
              <w:rPr>
                <w:rFonts w:ascii="Arial" w:hAnsi="Arial" w:cs="Arial"/>
                <w:sz w:val="16"/>
                <w:szCs w:val="16"/>
              </w:rPr>
            </w:pPr>
          </w:p>
        </w:tc>
        <w:tc>
          <w:tcPr>
            <w:tcW w:w="580" w:type="dxa"/>
            <w:tcBorders>
              <w:top w:val="single" w:sz="4" w:space="0" w:color="auto"/>
              <w:bottom w:val="single" w:sz="4" w:space="0" w:color="auto"/>
            </w:tcBorders>
            <w:shd w:val="clear" w:color="auto" w:fill="auto"/>
            <w:vAlign w:val="center"/>
          </w:tcPr>
          <w:p w14:paraId="6BFA95E3" w14:textId="77777777" w:rsidR="00E01366" w:rsidRPr="00C15DC8" w:rsidRDefault="00E01366" w:rsidP="000231F2">
            <w:pPr>
              <w:jc w:val="center"/>
              <w:rPr>
                <w:rFonts w:ascii="Arial" w:hAnsi="Arial" w:cs="Arial"/>
                <w:sz w:val="16"/>
                <w:szCs w:val="16"/>
              </w:rPr>
            </w:pPr>
          </w:p>
        </w:tc>
        <w:tc>
          <w:tcPr>
            <w:tcW w:w="650" w:type="dxa"/>
            <w:tcBorders>
              <w:bottom w:val="single" w:sz="4" w:space="0" w:color="auto"/>
            </w:tcBorders>
            <w:shd w:val="clear" w:color="auto" w:fill="auto"/>
            <w:vAlign w:val="center"/>
          </w:tcPr>
          <w:p w14:paraId="075524EC" w14:textId="77777777" w:rsidR="00E01366" w:rsidRPr="00C15DC8" w:rsidRDefault="00E01366" w:rsidP="000231F2">
            <w:pPr>
              <w:jc w:val="center"/>
              <w:rPr>
                <w:rFonts w:ascii="Arial" w:hAnsi="Arial" w:cs="Arial"/>
                <w:sz w:val="16"/>
                <w:szCs w:val="18"/>
              </w:rPr>
            </w:pPr>
          </w:p>
        </w:tc>
        <w:tc>
          <w:tcPr>
            <w:tcW w:w="681" w:type="dxa"/>
            <w:tcBorders>
              <w:bottom w:val="single" w:sz="4" w:space="0" w:color="auto"/>
            </w:tcBorders>
            <w:shd w:val="clear" w:color="auto" w:fill="auto"/>
            <w:vAlign w:val="center"/>
          </w:tcPr>
          <w:p w14:paraId="68762429" w14:textId="77777777" w:rsidR="00E01366" w:rsidRPr="00C15DC8" w:rsidRDefault="00E01366" w:rsidP="000231F2">
            <w:pPr>
              <w:jc w:val="center"/>
              <w:rPr>
                <w:rFonts w:ascii="Arial" w:hAnsi="Arial" w:cs="Arial"/>
                <w:sz w:val="16"/>
                <w:szCs w:val="18"/>
              </w:rPr>
            </w:pPr>
          </w:p>
        </w:tc>
        <w:tc>
          <w:tcPr>
            <w:tcW w:w="591" w:type="dxa"/>
            <w:tcBorders>
              <w:top w:val="single" w:sz="4" w:space="0" w:color="auto"/>
              <w:bottom w:val="single" w:sz="4" w:space="0" w:color="auto"/>
            </w:tcBorders>
            <w:shd w:val="clear" w:color="auto" w:fill="auto"/>
            <w:vAlign w:val="center"/>
          </w:tcPr>
          <w:p w14:paraId="17561C1A" w14:textId="77777777" w:rsidR="00E01366" w:rsidRPr="00C15DC8" w:rsidRDefault="00E01366" w:rsidP="000231F2">
            <w:pPr>
              <w:jc w:val="center"/>
              <w:rPr>
                <w:rFonts w:ascii="Arial" w:hAnsi="Arial" w:cs="Arial"/>
                <w:sz w:val="16"/>
                <w:szCs w:val="18"/>
              </w:rPr>
            </w:pPr>
          </w:p>
        </w:tc>
        <w:tc>
          <w:tcPr>
            <w:tcW w:w="709" w:type="dxa"/>
            <w:tcBorders>
              <w:bottom w:val="single" w:sz="4" w:space="0" w:color="auto"/>
            </w:tcBorders>
            <w:shd w:val="clear" w:color="auto" w:fill="auto"/>
            <w:vAlign w:val="center"/>
          </w:tcPr>
          <w:p w14:paraId="5D80D7CD" w14:textId="77777777" w:rsidR="00E01366" w:rsidRPr="00C15DC8" w:rsidRDefault="00E01366" w:rsidP="000231F2">
            <w:pPr>
              <w:jc w:val="center"/>
              <w:rPr>
                <w:rFonts w:ascii="Arial" w:hAnsi="Arial" w:cs="Arial"/>
                <w:sz w:val="16"/>
                <w:szCs w:val="18"/>
              </w:rPr>
            </w:pPr>
          </w:p>
        </w:tc>
        <w:tc>
          <w:tcPr>
            <w:tcW w:w="624" w:type="dxa"/>
            <w:tcBorders>
              <w:bottom w:val="single" w:sz="4" w:space="0" w:color="auto"/>
            </w:tcBorders>
            <w:shd w:val="clear" w:color="auto" w:fill="auto"/>
            <w:vAlign w:val="center"/>
          </w:tcPr>
          <w:p w14:paraId="32E3C2D1" w14:textId="77777777" w:rsidR="00E01366" w:rsidRPr="00C15DC8" w:rsidRDefault="00E01366" w:rsidP="000231F2">
            <w:pPr>
              <w:jc w:val="center"/>
              <w:rPr>
                <w:rFonts w:ascii="Arial" w:hAnsi="Arial" w:cs="Arial"/>
                <w:sz w:val="16"/>
                <w:szCs w:val="18"/>
              </w:rPr>
            </w:pPr>
          </w:p>
        </w:tc>
        <w:tc>
          <w:tcPr>
            <w:tcW w:w="579" w:type="dxa"/>
            <w:tcBorders>
              <w:top w:val="single" w:sz="4" w:space="0" w:color="auto"/>
              <w:bottom w:val="single" w:sz="4" w:space="0" w:color="auto"/>
            </w:tcBorders>
            <w:shd w:val="clear" w:color="auto" w:fill="auto"/>
            <w:vAlign w:val="center"/>
          </w:tcPr>
          <w:p w14:paraId="66B5A29E" w14:textId="77777777" w:rsidR="00E01366" w:rsidRPr="00C15DC8" w:rsidRDefault="00E01366" w:rsidP="000231F2">
            <w:pPr>
              <w:jc w:val="center"/>
              <w:rPr>
                <w:rFonts w:ascii="Arial" w:hAnsi="Arial" w:cs="Arial"/>
                <w:sz w:val="16"/>
                <w:szCs w:val="18"/>
              </w:rPr>
            </w:pPr>
          </w:p>
        </w:tc>
        <w:tc>
          <w:tcPr>
            <w:tcW w:w="603" w:type="dxa"/>
            <w:tcBorders>
              <w:bottom w:val="single" w:sz="4" w:space="0" w:color="auto"/>
            </w:tcBorders>
            <w:shd w:val="clear" w:color="auto" w:fill="auto"/>
            <w:vAlign w:val="center"/>
          </w:tcPr>
          <w:p w14:paraId="612C674E" w14:textId="77777777" w:rsidR="00E01366" w:rsidRPr="00C15DC8" w:rsidRDefault="00E01366" w:rsidP="000231F2">
            <w:pPr>
              <w:jc w:val="center"/>
              <w:rPr>
                <w:rFonts w:ascii="Arial" w:hAnsi="Arial" w:cs="Arial"/>
                <w:sz w:val="16"/>
                <w:szCs w:val="18"/>
              </w:rPr>
            </w:pPr>
          </w:p>
        </w:tc>
        <w:tc>
          <w:tcPr>
            <w:tcW w:w="595" w:type="dxa"/>
            <w:tcBorders>
              <w:bottom w:val="single" w:sz="4" w:space="0" w:color="auto"/>
            </w:tcBorders>
            <w:shd w:val="clear" w:color="auto" w:fill="auto"/>
            <w:vAlign w:val="center"/>
          </w:tcPr>
          <w:p w14:paraId="7F84085A" w14:textId="77777777" w:rsidR="00E01366" w:rsidRPr="00C15DC8" w:rsidRDefault="00E01366" w:rsidP="000231F2">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07416FEA" w14:textId="77777777" w:rsidR="00E01366" w:rsidRPr="00C15DC8" w:rsidRDefault="00E01366" w:rsidP="000231F2">
            <w:pPr>
              <w:jc w:val="center"/>
              <w:rPr>
                <w:rFonts w:ascii="Arial" w:hAnsi="Arial" w:cs="Arial"/>
                <w:sz w:val="16"/>
                <w:szCs w:val="18"/>
              </w:rPr>
            </w:pPr>
          </w:p>
        </w:tc>
        <w:tc>
          <w:tcPr>
            <w:tcW w:w="593" w:type="dxa"/>
            <w:tcBorders>
              <w:bottom w:val="single" w:sz="4" w:space="0" w:color="auto"/>
            </w:tcBorders>
            <w:shd w:val="clear" w:color="auto" w:fill="auto"/>
            <w:vAlign w:val="center"/>
          </w:tcPr>
          <w:p w14:paraId="746F2A5D" w14:textId="77777777" w:rsidR="00E01366" w:rsidRPr="00C15DC8" w:rsidRDefault="00E01366" w:rsidP="000231F2">
            <w:pPr>
              <w:jc w:val="center"/>
              <w:rPr>
                <w:rFonts w:ascii="Arial" w:hAnsi="Arial" w:cs="Arial"/>
                <w:sz w:val="16"/>
                <w:szCs w:val="18"/>
              </w:rPr>
            </w:pPr>
          </w:p>
        </w:tc>
        <w:tc>
          <w:tcPr>
            <w:tcW w:w="592" w:type="dxa"/>
            <w:tcBorders>
              <w:bottom w:val="single" w:sz="4" w:space="0" w:color="auto"/>
            </w:tcBorders>
            <w:shd w:val="clear" w:color="auto" w:fill="auto"/>
            <w:vAlign w:val="center"/>
          </w:tcPr>
          <w:p w14:paraId="67B92120" w14:textId="77777777" w:rsidR="00E01366" w:rsidRPr="00C15DC8" w:rsidRDefault="00E01366" w:rsidP="000231F2">
            <w:pPr>
              <w:jc w:val="center"/>
              <w:rPr>
                <w:rFonts w:ascii="Arial" w:hAnsi="Arial" w:cs="Arial"/>
                <w:sz w:val="16"/>
                <w:szCs w:val="18"/>
              </w:rPr>
            </w:pPr>
          </w:p>
        </w:tc>
        <w:tc>
          <w:tcPr>
            <w:tcW w:w="592" w:type="dxa"/>
            <w:tcBorders>
              <w:top w:val="single" w:sz="4" w:space="0" w:color="auto"/>
              <w:bottom w:val="single" w:sz="4" w:space="0" w:color="auto"/>
            </w:tcBorders>
            <w:shd w:val="clear" w:color="auto" w:fill="auto"/>
            <w:vAlign w:val="center"/>
          </w:tcPr>
          <w:p w14:paraId="4438C5D5" w14:textId="77777777" w:rsidR="00E01366" w:rsidRPr="00C15DC8" w:rsidRDefault="00E01366" w:rsidP="000231F2">
            <w:pPr>
              <w:jc w:val="center"/>
              <w:rPr>
                <w:rFonts w:ascii="Arial" w:hAnsi="Arial" w:cs="Arial"/>
                <w:sz w:val="16"/>
                <w:szCs w:val="18"/>
              </w:rPr>
            </w:pPr>
          </w:p>
        </w:tc>
        <w:tc>
          <w:tcPr>
            <w:tcW w:w="767" w:type="dxa"/>
            <w:tcBorders>
              <w:bottom w:val="single" w:sz="4" w:space="0" w:color="auto"/>
              <w:right w:val="single" w:sz="4" w:space="0" w:color="auto"/>
            </w:tcBorders>
            <w:shd w:val="clear" w:color="auto" w:fill="auto"/>
            <w:vAlign w:val="center"/>
          </w:tcPr>
          <w:p w14:paraId="510A43DC" w14:textId="77777777" w:rsidR="00E01366" w:rsidRPr="00C15DC8" w:rsidRDefault="00E01366" w:rsidP="000231F2">
            <w:pPr>
              <w:jc w:val="center"/>
              <w:rPr>
                <w:rFonts w:ascii="Arial" w:hAnsi="Arial" w:cs="Arial"/>
                <w:sz w:val="16"/>
                <w:szCs w:val="18"/>
              </w:rPr>
            </w:pPr>
          </w:p>
        </w:tc>
      </w:tr>
    </w:tbl>
    <w:p w14:paraId="56272EEF" w14:textId="77777777" w:rsidR="00E01366" w:rsidRPr="003C33F5" w:rsidRDefault="00E01366">
      <w:pPr>
        <w:rPr>
          <w:rFonts w:ascii="Arial" w:hAnsi="Arial" w:cs="Arial"/>
          <w:color w:val="FF0000"/>
          <w:sz w:val="20"/>
          <w:szCs w:val="20"/>
        </w:rPr>
      </w:pPr>
    </w:p>
    <w:tbl>
      <w:tblPr>
        <w:tblStyle w:val="Tablaconcuadrcula"/>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698"/>
        <w:gridCol w:w="693"/>
        <w:gridCol w:w="2071"/>
        <w:gridCol w:w="1102"/>
        <w:gridCol w:w="800"/>
        <w:gridCol w:w="692"/>
      </w:tblGrid>
      <w:tr w:rsidR="005A23AD" w:rsidRPr="005A23AD" w14:paraId="0045F3AD" w14:textId="7BCFB288"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0B4E" w14:textId="5D6F935F" w:rsidR="00AB3CA7" w:rsidRPr="005A23AD" w:rsidRDefault="002C6B38">
            <w:pPr>
              <w:rPr>
                <w:rFonts w:ascii="Arial" w:hAnsi="Arial" w:cs="Arial"/>
                <w:b/>
                <w:szCs w:val="20"/>
              </w:rPr>
            </w:pPr>
            <w:bookmarkStart w:id="1" w:name="_Hlk60147480"/>
            <w:r w:rsidRPr="005A23AD">
              <w:rPr>
                <w:rFonts w:ascii="Arial" w:hAnsi="Arial" w:cs="Arial"/>
                <w:b/>
                <w:bCs/>
                <w:szCs w:val="20"/>
              </w:rPr>
              <w:t>Definición</w:t>
            </w:r>
          </w:p>
        </w:tc>
      </w:tr>
      <w:tr w:rsidR="003C33F5" w:rsidRPr="003C33F5" w14:paraId="2AAFE8C6" w14:textId="77777777" w:rsidTr="002C6B38">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D5439" w14:textId="77777777" w:rsidR="002C6B38" w:rsidRPr="005A5A3D" w:rsidRDefault="002C6B38">
            <w:pPr>
              <w:rPr>
                <w:rFonts w:ascii="Arial" w:hAnsi="Arial"/>
                <w:sz w:val="20"/>
                <w:szCs w:val="20"/>
              </w:rPr>
            </w:pPr>
          </w:p>
          <w:p w14:paraId="3E49E112" w14:textId="75D891D3" w:rsidR="005A23AD" w:rsidRPr="005A5A3D" w:rsidRDefault="005A23AD" w:rsidP="005A23AD">
            <w:pPr>
              <w:spacing w:before="240" w:after="120"/>
              <w:contextualSpacing/>
              <w:jc w:val="both"/>
              <w:rPr>
                <w:rFonts w:ascii="Arial" w:hAnsi="Arial"/>
                <w:sz w:val="20"/>
                <w:szCs w:val="20"/>
              </w:rPr>
            </w:pPr>
            <w:r w:rsidRPr="006C4DAD">
              <w:rPr>
                <w:rFonts w:ascii="Arial" w:hAnsi="Arial"/>
                <w:sz w:val="20"/>
                <w:szCs w:val="20"/>
              </w:rPr>
              <w:t xml:space="preserve">El indicador estima la brecha de calidad del servicio de Educación Secundaria asociado al desarrollo del “Modelo de </w:t>
            </w:r>
            <w:r w:rsidR="000231F2">
              <w:rPr>
                <w:rFonts w:ascii="Arial" w:hAnsi="Arial"/>
                <w:sz w:val="20"/>
                <w:szCs w:val="20"/>
              </w:rPr>
              <w:t>s</w:t>
            </w:r>
            <w:r w:rsidRPr="006C4DAD">
              <w:rPr>
                <w:rFonts w:ascii="Arial" w:hAnsi="Arial"/>
                <w:sz w:val="20"/>
                <w:szCs w:val="20"/>
              </w:rPr>
              <w:t xml:space="preserve">ervicio </w:t>
            </w:r>
            <w:r w:rsidR="000231F2">
              <w:rPr>
                <w:rFonts w:ascii="Arial" w:hAnsi="Arial"/>
                <w:sz w:val="20"/>
                <w:szCs w:val="20"/>
              </w:rPr>
              <w:t>e</w:t>
            </w:r>
            <w:r w:rsidRPr="006C4DAD">
              <w:rPr>
                <w:rFonts w:ascii="Arial" w:hAnsi="Arial"/>
                <w:sz w:val="20"/>
                <w:szCs w:val="20"/>
              </w:rPr>
              <w:t xml:space="preserve">ducativo para la </w:t>
            </w:r>
            <w:r w:rsidR="000231F2">
              <w:rPr>
                <w:rFonts w:ascii="Arial" w:hAnsi="Arial"/>
                <w:sz w:val="20"/>
                <w:szCs w:val="20"/>
              </w:rPr>
              <w:t>a</w:t>
            </w:r>
            <w:r w:rsidRPr="006C4DAD">
              <w:rPr>
                <w:rFonts w:ascii="Arial" w:hAnsi="Arial"/>
                <w:sz w:val="20"/>
                <w:szCs w:val="20"/>
              </w:rPr>
              <w:t xml:space="preserve">tención de </w:t>
            </w:r>
            <w:r w:rsidR="000231F2">
              <w:rPr>
                <w:rFonts w:ascii="Arial" w:hAnsi="Arial"/>
                <w:sz w:val="20"/>
                <w:szCs w:val="20"/>
              </w:rPr>
              <w:t>e</w:t>
            </w:r>
            <w:r w:rsidRPr="006C4DAD">
              <w:rPr>
                <w:rFonts w:ascii="Arial" w:hAnsi="Arial"/>
                <w:sz w:val="20"/>
                <w:szCs w:val="20"/>
              </w:rPr>
              <w:t xml:space="preserve">studiantes con </w:t>
            </w:r>
            <w:r w:rsidR="000231F2">
              <w:rPr>
                <w:rFonts w:ascii="Arial" w:hAnsi="Arial"/>
                <w:sz w:val="20"/>
                <w:szCs w:val="20"/>
              </w:rPr>
              <w:t>h</w:t>
            </w:r>
            <w:r w:rsidRPr="006C4DAD">
              <w:rPr>
                <w:rFonts w:ascii="Arial" w:hAnsi="Arial"/>
                <w:sz w:val="20"/>
                <w:szCs w:val="20"/>
              </w:rPr>
              <w:t xml:space="preserve">abilidades </w:t>
            </w:r>
            <w:r w:rsidR="000231F2">
              <w:rPr>
                <w:rFonts w:ascii="Arial" w:hAnsi="Arial"/>
                <w:sz w:val="20"/>
                <w:szCs w:val="20"/>
              </w:rPr>
              <w:t>s</w:t>
            </w:r>
            <w:r w:rsidRPr="006C4DAD">
              <w:rPr>
                <w:rFonts w:ascii="Arial" w:hAnsi="Arial"/>
                <w:sz w:val="20"/>
                <w:szCs w:val="20"/>
              </w:rPr>
              <w:t>obresalientes</w:t>
            </w:r>
            <w:r w:rsidR="006C4DAD" w:rsidRPr="006C4DAD">
              <w:rPr>
                <w:rFonts w:ascii="Arial" w:hAnsi="Arial"/>
                <w:sz w:val="20"/>
                <w:szCs w:val="20"/>
              </w:rPr>
              <w:t xml:space="preserve"> </w:t>
            </w:r>
            <w:r w:rsidR="006C4DAD" w:rsidRPr="005A5A3D">
              <w:rPr>
                <w:rFonts w:ascii="Arial" w:hAnsi="Arial"/>
                <w:sz w:val="20"/>
                <w:szCs w:val="20"/>
              </w:rPr>
              <w:t>y alto desempeño académico, artístico y/o deportivo</w:t>
            </w:r>
            <w:r w:rsidR="00C62CF0">
              <w:rPr>
                <w:rStyle w:val="Refdenotaalpie"/>
                <w:rFonts w:ascii="Arial" w:hAnsi="Arial"/>
                <w:sz w:val="20"/>
                <w:szCs w:val="20"/>
              </w:rPr>
              <w:footnoteReference w:id="1"/>
            </w:r>
            <w:r w:rsidRPr="006C4DAD">
              <w:rPr>
                <w:rFonts w:ascii="Arial" w:hAnsi="Arial"/>
                <w:sz w:val="20"/>
                <w:szCs w:val="20"/>
              </w:rPr>
              <w:t xml:space="preserve">” (MSE sobresaliente) y </w:t>
            </w:r>
            <w:r w:rsidRPr="005A5A3D">
              <w:rPr>
                <w:rFonts w:ascii="Arial" w:hAnsi="Arial"/>
                <w:sz w:val="20"/>
                <w:szCs w:val="20"/>
              </w:rPr>
              <w:t xml:space="preserve">representa la proporción de </w:t>
            </w:r>
            <w:r w:rsidRPr="006C4DAD">
              <w:rPr>
                <w:rFonts w:ascii="Arial" w:hAnsi="Arial"/>
                <w:sz w:val="20"/>
                <w:szCs w:val="20"/>
              </w:rPr>
              <w:t xml:space="preserve">unidades productoras (UP) que desarrollan el mencionado modelo que, a la fecha de la medición, se encuentra en condiciones inadecuadas. </w:t>
            </w:r>
            <w:r w:rsidRPr="005A5A3D">
              <w:rPr>
                <w:rFonts w:ascii="Arial" w:hAnsi="Arial"/>
                <w:sz w:val="20"/>
                <w:szCs w:val="20"/>
              </w:rPr>
              <w:t>En ese sentido, la UP es el conjunto de recursos o factores productivos (infraestructura, equipos, personal, organización, capacidad de gestión entre otros) que, articulados entre sí, tienen la capacidad de proveer bienes o servicios a la población objetivo</w:t>
            </w:r>
            <w:r w:rsidRPr="005A5A3D">
              <w:footnoteReference w:id="2"/>
            </w:r>
            <w:r w:rsidRPr="005A5A3D">
              <w:rPr>
                <w:rFonts w:ascii="Arial" w:hAnsi="Arial"/>
                <w:sz w:val="20"/>
                <w:szCs w:val="20"/>
                <w:vertAlign w:val="superscript"/>
              </w:rPr>
              <w:t>.</w:t>
            </w:r>
            <w:r w:rsidRPr="005A5A3D">
              <w:rPr>
                <w:rFonts w:ascii="Arial" w:hAnsi="Arial"/>
                <w:sz w:val="20"/>
                <w:szCs w:val="20"/>
              </w:rPr>
              <w:t xml:space="preserve"> La estructura de una UP corresponde a una agregación de activos respecto a los servicios que esta brinda y a los procesos de producción correspondientes. Las UP asociadas al presente servicio se encuentran identificadas mediante el código modular de la institución educativa, mientras que su ubicación puede ser determinada a través del local educativo, el cual se identifica mediante el código de local educativo.</w:t>
            </w:r>
          </w:p>
          <w:p w14:paraId="334C5059" w14:textId="77777777" w:rsidR="005A23AD" w:rsidRPr="006C4DAD" w:rsidRDefault="005A23AD" w:rsidP="005A23AD">
            <w:pPr>
              <w:jc w:val="both"/>
              <w:rPr>
                <w:rFonts w:ascii="Arial" w:hAnsi="Arial"/>
                <w:sz w:val="20"/>
                <w:szCs w:val="20"/>
              </w:rPr>
            </w:pPr>
          </w:p>
          <w:p w14:paraId="11B333E3" w14:textId="77777777" w:rsidR="005A23AD" w:rsidRPr="000129E0" w:rsidRDefault="005A23AD" w:rsidP="005A23AD">
            <w:pPr>
              <w:spacing w:before="240" w:after="120"/>
              <w:contextualSpacing/>
              <w:jc w:val="both"/>
              <w:rPr>
                <w:rFonts w:ascii="Arial" w:hAnsi="Arial"/>
                <w:sz w:val="20"/>
                <w:szCs w:val="20"/>
              </w:rPr>
            </w:pPr>
            <w:r w:rsidRPr="00C11F84">
              <w:rPr>
                <w:rFonts w:ascii="Arial" w:hAnsi="Arial"/>
                <w:sz w:val="20"/>
                <w:szCs w:val="20"/>
              </w:rPr>
              <w:t xml:space="preserve">La </w:t>
            </w:r>
            <w:r>
              <w:rPr>
                <w:rFonts w:ascii="Arial" w:hAnsi="Arial"/>
                <w:sz w:val="20"/>
                <w:szCs w:val="20"/>
              </w:rPr>
              <w:t>i</w:t>
            </w:r>
            <w:r w:rsidRPr="00C11F84">
              <w:rPr>
                <w:rFonts w:ascii="Arial" w:hAnsi="Arial"/>
                <w:sz w:val="20"/>
                <w:szCs w:val="20"/>
              </w:rPr>
              <w:t xml:space="preserve">nfraestructura educativa </w:t>
            </w:r>
            <w:r>
              <w:rPr>
                <w:rFonts w:ascii="Arial" w:hAnsi="Arial"/>
                <w:sz w:val="20"/>
                <w:szCs w:val="20"/>
              </w:rPr>
              <w:t xml:space="preserve">es </w:t>
            </w:r>
            <w:r w:rsidRPr="0045614C">
              <w:rPr>
                <w:rFonts w:ascii="Arial" w:hAnsi="Arial"/>
                <w:sz w:val="20"/>
                <w:szCs w:val="20"/>
              </w:rPr>
              <w:t>el soporte físico del servicio educativo y está constituido por el conjunto de predios, espacios, edificaciones, equipamiento y mobiliario</w:t>
            </w:r>
            <w:r w:rsidRPr="005A5A3D">
              <w:footnoteReference w:id="3"/>
            </w:r>
            <w:r w:rsidRPr="005A5A3D">
              <w:rPr>
                <w:rFonts w:ascii="Arial" w:hAnsi="Arial"/>
                <w:sz w:val="20"/>
                <w:szCs w:val="20"/>
                <w:vertAlign w:val="superscript"/>
              </w:rPr>
              <w:t xml:space="preserve">. </w:t>
            </w:r>
            <w:r>
              <w:rPr>
                <w:rFonts w:ascii="Arial" w:hAnsi="Arial"/>
                <w:sz w:val="20"/>
                <w:szCs w:val="20"/>
              </w:rPr>
              <w:t>Estos elementos</w:t>
            </w:r>
            <w:r w:rsidRPr="00C11F84">
              <w:rPr>
                <w:rFonts w:ascii="Arial" w:hAnsi="Arial"/>
                <w:sz w:val="20"/>
                <w:szCs w:val="20"/>
              </w:rPr>
              <w:t>, entre otros</w:t>
            </w:r>
            <w:r>
              <w:rPr>
                <w:rFonts w:ascii="Arial" w:hAnsi="Arial"/>
                <w:sz w:val="20"/>
                <w:szCs w:val="20"/>
              </w:rPr>
              <w:t>, conforman la UP</w:t>
            </w:r>
            <w:r w:rsidRPr="00C11F84">
              <w:rPr>
                <w:rFonts w:ascii="Arial" w:hAnsi="Arial"/>
                <w:sz w:val="20"/>
                <w:szCs w:val="20"/>
              </w:rPr>
              <w:t xml:space="preserve">. </w:t>
            </w:r>
            <w:r w:rsidRPr="000129E0">
              <w:rPr>
                <w:rFonts w:ascii="Arial" w:hAnsi="Arial"/>
                <w:sz w:val="20"/>
                <w:szCs w:val="20"/>
              </w:rPr>
              <w:t xml:space="preserve">Se considera que </w:t>
            </w:r>
            <w:r>
              <w:rPr>
                <w:rFonts w:ascii="Arial" w:hAnsi="Arial"/>
                <w:sz w:val="20"/>
                <w:szCs w:val="20"/>
              </w:rPr>
              <w:t>la UP</w:t>
            </w:r>
            <w:r w:rsidRPr="000129E0">
              <w:rPr>
                <w:rFonts w:ascii="Arial" w:hAnsi="Arial"/>
                <w:sz w:val="20"/>
                <w:szCs w:val="20"/>
              </w:rPr>
              <w:t xml:space="preserve"> tiene capacidad instalada inadecuada </w:t>
            </w:r>
            <w:r w:rsidRPr="00E35A37">
              <w:rPr>
                <w:rFonts w:ascii="Arial" w:hAnsi="Arial"/>
                <w:sz w:val="20"/>
                <w:szCs w:val="20"/>
              </w:rPr>
              <w:t xml:space="preserve">si el local presenta infraestructura educativa que no cumple con los estándares de calidad </w:t>
            </w:r>
            <w:r>
              <w:rPr>
                <w:rFonts w:ascii="Arial" w:hAnsi="Arial"/>
                <w:sz w:val="20"/>
                <w:szCs w:val="20"/>
              </w:rPr>
              <w:t>para llegar al nivel de servicio deseado, según lo establecido</w:t>
            </w:r>
            <w:r w:rsidRPr="00E35A37">
              <w:rPr>
                <w:rFonts w:ascii="Arial" w:hAnsi="Arial"/>
                <w:sz w:val="20"/>
                <w:szCs w:val="20"/>
              </w:rPr>
              <w:t xml:space="preserve"> </w:t>
            </w:r>
            <w:r>
              <w:rPr>
                <w:rFonts w:ascii="Arial" w:hAnsi="Arial"/>
                <w:sz w:val="20"/>
                <w:szCs w:val="20"/>
              </w:rPr>
              <w:t xml:space="preserve">en </w:t>
            </w:r>
            <w:r w:rsidRPr="00E35A37">
              <w:rPr>
                <w:rFonts w:ascii="Arial" w:hAnsi="Arial"/>
                <w:sz w:val="20"/>
                <w:szCs w:val="20"/>
              </w:rPr>
              <w:t xml:space="preserve">las normas vigentes, lineamientos y requerimientos </w:t>
            </w:r>
            <w:r>
              <w:rPr>
                <w:rFonts w:ascii="Arial" w:hAnsi="Arial"/>
                <w:sz w:val="20"/>
                <w:szCs w:val="20"/>
              </w:rPr>
              <w:t>d</w:t>
            </w:r>
            <w:r w:rsidRPr="00E35A37">
              <w:rPr>
                <w:rFonts w:ascii="Arial" w:hAnsi="Arial"/>
                <w:sz w:val="20"/>
                <w:szCs w:val="20"/>
              </w:rPr>
              <w:t xml:space="preserve">el </w:t>
            </w:r>
            <w:r>
              <w:rPr>
                <w:rFonts w:ascii="Arial" w:hAnsi="Arial"/>
                <w:sz w:val="20"/>
                <w:szCs w:val="20"/>
              </w:rPr>
              <w:t>S</w:t>
            </w:r>
            <w:r w:rsidRPr="00E35A37">
              <w:rPr>
                <w:rFonts w:ascii="Arial" w:hAnsi="Arial"/>
                <w:sz w:val="20"/>
                <w:szCs w:val="20"/>
              </w:rPr>
              <w:t xml:space="preserve">ector </w:t>
            </w:r>
            <w:r>
              <w:rPr>
                <w:rFonts w:ascii="Arial" w:hAnsi="Arial"/>
                <w:sz w:val="20"/>
                <w:szCs w:val="20"/>
              </w:rPr>
              <w:t>E</w:t>
            </w:r>
            <w:r w:rsidRPr="00E35A37">
              <w:rPr>
                <w:rFonts w:ascii="Arial" w:hAnsi="Arial"/>
                <w:sz w:val="20"/>
                <w:szCs w:val="20"/>
              </w:rPr>
              <w:t>ducación</w:t>
            </w:r>
            <w:r w:rsidRPr="000129E0">
              <w:rPr>
                <w:rFonts w:ascii="Arial" w:hAnsi="Arial"/>
                <w:sz w:val="20"/>
                <w:szCs w:val="20"/>
              </w:rPr>
              <w:t>.</w:t>
            </w:r>
          </w:p>
          <w:p w14:paraId="22DA3EDE" w14:textId="77777777" w:rsidR="005A23AD" w:rsidRPr="005A5A3D" w:rsidRDefault="005A23AD" w:rsidP="005A23AD">
            <w:pPr>
              <w:jc w:val="both"/>
              <w:rPr>
                <w:rFonts w:ascii="Arial" w:hAnsi="Arial"/>
                <w:sz w:val="20"/>
                <w:szCs w:val="20"/>
              </w:rPr>
            </w:pPr>
          </w:p>
          <w:p w14:paraId="29AA955B" w14:textId="262DA589" w:rsidR="005A23AD" w:rsidRPr="006C4DAD" w:rsidRDefault="005A23AD" w:rsidP="005A23AD">
            <w:pPr>
              <w:jc w:val="both"/>
              <w:rPr>
                <w:rFonts w:ascii="Arial" w:hAnsi="Arial"/>
                <w:sz w:val="20"/>
                <w:szCs w:val="20"/>
              </w:rPr>
            </w:pPr>
            <w:r w:rsidRPr="005A5A3D">
              <w:rPr>
                <w:rFonts w:ascii="Arial" w:hAnsi="Arial"/>
                <w:sz w:val="20"/>
                <w:szCs w:val="20"/>
              </w:rPr>
              <w:lastRenderedPageBreak/>
              <w:t xml:space="preserve">El MSE Sobresaliente </w:t>
            </w:r>
            <w:r w:rsidR="006C4DAD" w:rsidRPr="005A5A3D">
              <w:rPr>
                <w:rFonts w:ascii="Arial" w:hAnsi="Arial"/>
                <w:sz w:val="20"/>
                <w:szCs w:val="20"/>
              </w:rPr>
              <w:t xml:space="preserve">ofrece un modelo de educación inclusiva, intercultural orientada al bien común y de excelencia para estudiantes de II.EE públicas del nivel secundario de la </w:t>
            </w:r>
            <w:r w:rsidR="008D2566">
              <w:rPr>
                <w:rFonts w:ascii="Arial" w:hAnsi="Arial"/>
                <w:sz w:val="20"/>
                <w:szCs w:val="20"/>
              </w:rPr>
              <w:t>E</w:t>
            </w:r>
            <w:r w:rsidR="006C4DAD" w:rsidRPr="005A5A3D">
              <w:rPr>
                <w:rFonts w:ascii="Arial" w:hAnsi="Arial"/>
                <w:sz w:val="20"/>
                <w:szCs w:val="20"/>
              </w:rPr>
              <w:t xml:space="preserve">ducación </w:t>
            </w:r>
            <w:r w:rsidR="008D2566">
              <w:rPr>
                <w:rFonts w:ascii="Arial" w:hAnsi="Arial"/>
                <w:sz w:val="20"/>
                <w:szCs w:val="20"/>
              </w:rPr>
              <w:t>B</w:t>
            </w:r>
            <w:r w:rsidR="006C4DAD" w:rsidRPr="005A5A3D">
              <w:rPr>
                <w:rFonts w:ascii="Arial" w:hAnsi="Arial"/>
                <w:sz w:val="20"/>
                <w:szCs w:val="20"/>
              </w:rPr>
              <w:t xml:space="preserve">ásica </w:t>
            </w:r>
            <w:r w:rsidR="008D2566">
              <w:rPr>
                <w:rFonts w:ascii="Arial" w:hAnsi="Arial"/>
                <w:sz w:val="20"/>
                <w:szCs w:val="20"/>
              </w:rPr>
              <w:t>R</w:t>
            </w:r>
            <w:r w:rsidR="006C4DAD" w:rsidRPr="005A5A3D">
              <w:rPr>
                <w:rFonts w:ascii="Arial" w:hAnsi="Arial"/>
                <w:sz w:val="20"/>
                <w:szCs w:val="20"/>
              </w:rPr>
              <w:t>egular del Perú, que residen en el ámbito urbano o rural que cuentan con habilidades sobresalientes con potencial para el desarrollo de talentos específicos en los ámbitos académico, artístico y/o deportivo</w:t>
            </w:r>
            <w:r w:rsidR="005723AF">
              <w:rPr>
                <w:rStyle w:val="Refdenotaalpie"/>
                <w:rFonts w:ascii="Arial" w:hAnsi="Arial"/>
                <w:sz w:val="20"/>
                <w:szCs w:val="20"/>
              </w:rPr>
              <w:footnoteReference w:id="4"/>
            </w:r>
            <w:r w:rsidR="006C4DAD" w:rsidRPr="005A5A3D">
              <w:rPr>
                <w:rFonts w:ascii="Arial" w:hAnsi="Arial"/>
                <w:sz w:val="20"/>
                <w:szCs w:val="20"/>
              </w:rPr>
              <w:t>.</w:t>
            </w:r>
            <w:r w:rsidR="00562A33">
              <w:rPr>
                <w:rFonts w:ascii="Arial" w:hAnsi="Arial"/>
                <w:sz w:val="20"/>
                <w:szCs w:val="20"/>
              </w:rPr>
              <w:t xml:space="preserve"> El plan de estudio se desarrolla a partir del séptimo ciclo de la educación básica regular. </w:t>
            </w:r>
            <w:r w:rsidRPr="006C4DAD">
              <w:rPr>
                <w:rFonts w:ascii="Arial" w:hAnsi="Arial"/>
                <w:sz w:val="20"/>
                <w:szCs w:val="20"/>
              </w:rPr>
              <w:t xml:space="preserve">Según el Currículo Nacional de la Educación Básica (CNEB), el </w:t>
            </w:r>
            <w:r w:rsidR="00562A33">
              <w:rPr>
                <w:rFonts w:ascii="Arial" w:hAnsi="Arial"/>
                <w:sz w:val="20"/>
                <w:szCs w:val="20"/>
              </w:rPr>
              <w:t>s</w:t>
            </w:r>
            <w:r w:rsidR="00A76EB3">
              <w:rPr>
                <w:rFonts w:ascii="Arial" w:hAnsi="Arial"/>
                <w:sz w:val="20"/>
                <w:szCs w:val="20"/>
              </w:rPr>
              <w:t>é</w:t>
            </w:r>
            <w:r w:rsidR="00562A33">
              <w:rPr>
                <w:rFonts w:ascii="Arial" w:hAnsi="Arial"/>
                <w:sz w:val="20"/>
                <w:szCs w:val="20"/>
              </w:rPr>
              <w:t>ptimo</w:t>
            </w:r>
            <w:r w:rsidRPr="006C4DAD">
              <w:rPr>
                <w:rFonts w:ascii="Arial" w:hAnsi="Arial"/>
                <w:sz w:val="20"/>
                <w:szCs w:val="20"/>
              </w:rPr>
              <w:t xml:space="preserve"> ciclo de la </w:t>
            </w:r>
            <w:r w:rsidR="008D2566">
              <w:rPr>
                <w:rFonts w:ascii="Arial" w:hAnsi="Arial"/>
                <w:sz w:val="20"/>
                <w:szCs w:val="20"/>
              </w:rPr>
              <w:t>E</w:t>
            </w:r>
            <w:r w:rsidRPr="006C4DAD">
              <w:rPr>
                <w:rFonts w:ascii="Arial" w:hAnsi="Arial"/>
                <w:sz w:val="20"/>
                <w:szCs w:val="20"/>
              </w:rPr>
              <w:t>ducación Básica Regular se encuentra compuesto por los alumnos del 3º, 4º y 5º grado de secundaria.</w:t>
            </w:r>
          </w:p>
          <w:p w14:paraId="10307B36" w14:textId="77777777" w:rsidR="005A23AD" w:rsidRPr="006C4DAD" w:rsidRDefault="005A23AD" w:rsidP="005A23AD">
            <w:pPr>
              <w:jc w:val="both"/>
              <w:rPr>
                <w:rFonts w:ascii="Arial" w:hAnsi="Arial"/>
                <w:sz w:val="20"/>
                <w:szCs w:val="20"/>
              </w:rPr>
            </w:pPr>
          </w:p>
          <w:p w14:paraId="2EF36E1B" w14:textId="27D64658" w:rsidR="005A23AD" w:rsidRPr="006C4DAD" w:rsidRDefault="005A23AD" w:rsidP="005A23AD">
            <w:pPr>
              <w:jc w:val="both"/>
              <w:rPr>
                <w:rFonts w:ascii="Arial" w:hAnsi="Arial"/>
                <w:sz w:val="20"/>
                <w:szCs w:val="20"/>
              </w:rPr>
            </w:pPr>
            <w:r w:rsidRPr="006C4DAD">
              <w:rPr>
                <w:rFonts w:ascii="Arial" w:hAnsi="Arial"/>
                <w:sz w:val="20"/>
                <w:szCs w:val="20"/>
              </w:rPr>
              <w:t xml:space="preserve">El MSE Sobresaliente </w:t>
            </w:r>
            <w:r w:rsidR="00A76EB3">
              <w:rPr>
                <w:rFonts w:ascii="Arial" w:hAnsi="Arial"/>
                <w:sz w:val="20"/>
                <w:szCs w:val="20"/>
              </w:rPr>
              <w:t xml:space="preserve">tiene como objetivo </w:t>
            </w:r>
            <w:r w:rsidRPr="006C4DAD">
              <w:rPr>
                <w:rFonts w:ascii="Arial" w:hAnsi="Arial"/>
                <w:sz w:val="20"/>
                <w:szCs w:val="20"/>
              </w:rPr>
              <w:t>dentro de su plan de estudio</w:t>
            </w:r>
            <w:r w:rsidR="00A76EB3">
              <w:rPr>
                <w:rFonts w:ascii="Arial" w:hAnsi="Arial"/>
                <w:sz w:val="20"/>
                <w:szCs w:val="20"/>
              </w:rPr>
              <w:t>, desarrollar las competencias</w:t>
            </w:r>
            <w:r w:rsidRPr="006C4DAD">
              <w:rPr>
                <w:rFonts w:ascii="Arial" w:hAnsi="Arial"/>
                <w:sz w:val="20"/>
                <w:szCs w:val="20"/>
              </w:rPr>
              <w:t xml:space="preserve"> del CNEB </w:t>
            </w:r>
            <w:r w:rsidR="00A76EB3">
              <w:rPr>
                <w:rFonts w:ascii="Arial" w:hAnsi="Arial"/>
                <w:sz w:val="20"/>
                <w:szCs w:val="20"/>
              </w:rPr>
              <w:t xml:space="preserve">con proyección a un nivel destacado, y desarrollar a su vez las habilidades previstas </w:t>
            </w:r>
            <w:r w:rsidR="00A76EB3" w:rsidRPr="005A5A3D">
              <w:rPr>
                <w:rFonts w:ascii="Arial" w:hAnsi="Arial"/>
                <w:sz w:val="20"/>
                <w:szCs w:val="20"/>
              </w:rPr>
              <w:t xml:space="preserve">en el Programa del Diploma de la </w:t>
            </w:r>
            <w:r w:rsidR="00A76EB3">
              <w:rPr>
                <w:rFonts w:ascii="Arial" w:hAnsi="Arial"/>
                <w:sz w:val="20"/>
                <w:szCs w:val="20"/>
              </w:rPr>
              <w:t>Organización de Bachillerato Internacional (</w:t>
            </w:r>
            <w:r w:rsidR="00A76EB3" w:rsidRPr="005A5A3D">
              <w:rPr>
                <w:rFonts w:ascii="Arial" w:hAnsi="Arial"/>
                <w:sz w:val="20"/>
                <w:szCs w:val="20"/>
              </w:rPr>
              <w:t>OB</w:t>
            </w:r>
            <w:r w:rsidR="00A76EB3">
              <w:rPr>
                <w:rFonts w:ascii="Arial" w:hAnsi="Arial"/>
                <w:sz w:val="20"/>
                <w:szCs w:val="20"/>
              </w:rPr>
              <w:t>I)</w:t>
            </w:r>
            <w:r w:rsidR="00812527">
              <w:rPr>
                <w:rStyle w:val="Refdenotaalpie"/>
                <w:rFonts w:ascii="Arial" w:hAnsi="Arial"/>
                <w:sz w:val="20"/>
                <w:szCs w:val="20"/>
              </w:rPr>
              <w:footnoteReference w:id="5"/>
            </w:r>
            <w:r w:rsidR="00A76EB3">
              <w:rPr>
                <w:rFonts w:ascii="Arial" w:hAnsi="Arial"/>
                <w:sz w:val="20"/>
                <w:szCs w:val="20"/>
              </w:rPr>
              <w:t xml:space="preserve">. </w:t>
            </w:r>
          </w:p>
          <w:p w14:paraId="2A673DA1" w14:textId="77777777" w:rsidR="005A23AD" w:rsidRPr="006C4DAD" w:rsidRDefault="005A23AD" w:rsidP="005A23AD">
            <w:pPr>
              <w:jc w:val="both"/>
              <w:rPr>
                <w:rFonts w:ascii="Arial" w:hAnsi="Arial"/>
                <w:sz w:val="20"/>
                <w:szCs w:val="20"/>
              </w:rPr>
            </w:pPr>
          </w:p>
          <w:p w14:paraId="55B40940" w14:textId="23D6DAAF" w:rsidR="005A23AD" w:rsidRPr="001C1A97" w:rsidRDefault="005A23AD" w:rsidP="005A23AD">
            <w:pPr>
              <w:jc w:val="both"/>
              <w:rPr>
                <w:rFonts w:ascii="Arial" w:hAnsi="Arial"/>
                <w:sz w:val="20"/>
                <w:szCs w:val="20"/>
              </w:rPr>
            </w:pPr>
            <w:r>
              <w:rPr>
                <w:rFonts w:ascii="Arial" w:hAnsi="Arial"/>
                <w:sz w:val="20"/>
                <w:szCs w:val="20"/>
              </w:rPr>
              <w:t xml:space="preserve">El presente indicador solo considera a las unidades productoras asociadas a las II.EE de secundaria que tiene un convenio firmado para la implementación del modelo de servicio denominado “Modelo de </w:t>
            </w:r>
            <w:r w:rsidR="00C62CF0">
              <w:rPr>
                <w:rFonts w:ascii="Arial" w:hAnsi="Arial"/>
                <w:sz w:val="20"/>
                <w:szCs w:val="20"/>
              </w:rPr>
              <w:t>s</w:t>
            </w:r>
            <w:r>
              <w:rPr>
                <w:rFonts w:ascii="Arial" w:hAnsi="Arial"/>
                <w:sz w:val="20"/>
                <w:szCs w:val="20"/>
              </w:rPr>
              <w:t xml:space="preserve">ervicio </w:t>
            </w:r>
            <w:r w:rsidR="00C62CF0">
              <w:rPr>
                <w:rFonts w:ascii="Arial" w:hAnsi="Arial"/>
                <w:sz w:val="20"/>
                <w:szCs w:val="20"/>
              </w:rPr>
              <w:t>e</w:t>
            </w:r>
            <w:r>
              <w:rPr>
                <w:rFonts w:ascii="Arial" w:hAnsi="Arial"/>
                <w:sz w:val="20"/>
                <w:szCs w:val="20"/>
              </w:rPr>
              <w:t xml:space="preserve">ducativo para la </w:t>
            </w:r>
            <w:r w:rsidR="00C62CF0">
              <w:rPr>
                <w:rFonts w:ascii="Arial" w:hAnsi="Arial"/>
                <w:sz w:val="20"/>
                <w:szCs w:val="20"/>
              </w:rPr>
              <w:t>a</w:t>
            </w:r>
            <w:r>
              <w:rPr>
                <w:rFonts w:ascii="Arial" w:hAnsi="Arial"/>
                <w:sz w:val="20"/>
                <w:szCs w:val="20"/>
              </w:rPr>
              <w:t xml:space="preserve">tención de </w:t>
            </w:r>
            <w:r w:rsidR="00C62CF0">
              <w:rPr>
                <w:rFonts w:ascii="Arial" w:hAnsi="Arial"/>
                <w:sz w:val="20"/>
                <w:szCs w:val="20"/>
              </w:rPr>
              <w:t>e</w:t>
            </w:r>
            <w:r>
              <w:rPr>
                <w:rFonts w:ascii="Arial" w:hAnsi="Arial"/>
                <w:sz w:val="20"/>
                <w:szCs w:val="20"/>
              </w:rPr>
              <w:t xml:space="preserve">studiantes con </w:t>
            </w:r>
            <w:r w:rsidR="00C62CF0">
              <w:rPr>
                <w:rFonts w:ascii="Arial" w:hAnsi="Arial"/>
                <w:sz w:val="20"/>
                <w:szCs w:val="20"/>
              </w:rPr>
              <w:t>h</w:t>
            </w:r>
            <w:r>
              <w:rPr>
                <w:rFonts w:ascii="Arial" w:hAnsi="Arial"/>
                <w:sz w:val="20"/>
                <w:szCs w:val="20"/>
              </w:rPr>
              <w:t xml:space="preserve">abilidades </w:t>
            </w:r>
            <w:r w:rsidR="00C62CF0">
              <w:rPr>
                <w:rFonts w:ascii="Arial" w:hAnsi="Arial"/>
                <w:sz w:val="20"/>
                <w:szCs w:val="20"/>
              </w:rPr>
              <w:t>s</w:t>
            </w:r>
            <w:r>
              <w:rPr>
                <w:rFonts w:ascii="Arial" w:hAnsi="Arial"/>
                <w:sz w:val="20"/>
                <w:szCs w:val="20"/>
              </w:rPr>
              <w:t>obresalientes</w:t>
            </w:r>
            <w:r w:rsidR="00C62CF0">
              <w:rPr>
                <w:rFonts w:ascii="Arial" w:hAnsi="Arial"/>
                <w:sz w:val="20"/>
                <w:szCs w:val="20"/>
              </w:rPr>
              <w:t xml:space="preserve"> y alto desempeño académico, artístico y/o deportivo</w:t>
            </w:r>
            <w:r>
              <w:rPr>
                <w:rFonts w:ascii="Arial" w:hAnsi="Arial"/>
                <w:sz w:val="20"/>
                <w:szCs w:val="20"/>
              </w:rPr>
              <w:t>”</w:t>
            </w:r>
            <w:r w:rsidR="007049F8">
              <w:rPr>
                <w:rFonts w:ascii="Arial" w:hAnsi="Arial"/>
                <w:sz w:val="20"/>
                <w:szCs w:val="20"/>
              </w:rPr>
              <w:t xml:space="preserve"> (MSE Sobresaliente)</w:t>
            </w:r>
            <w:r>
              <w:rPr>
                <w:rFonts w:ascii="Arial" w:hAnsi="Arial"/>
                <w:sz w:val="20"/>
                <w:szCs w:val="20"/>
              </w:rPr>
              <w:t>.</w:t>
            </w:r>
          </w:p>
          <w:p w14:paraId="7F52E88A" w14:textId="3015E0F0" w:rsidR="002C6B38" w:rsidRPr="005A5A3D" w:rsidRDefault="002C6B38">
            <w:pPr>
              <w:rPr>
                <w:rFonts w:ascii="Arial" w:hAnsi="Arial"/>
                <w:sz w:val="20"/>
                <w:szCs w:val="20"/>
              </w:rPr>
            </w:pPr>
          </w:p>
        </w:tc>
      </w:tr>
      <w:tr w:rsidR="005A23AD" w:rsidRPr="005A23AD" w14:paraId="55A12013"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02E69" w14:textId="2A4E3277" w:rsidR="002C6B38" w:rsidRPr="005A23AD" w:rsidRDefault="002C6B38" w:rsidP="002C6B38">
            <w:pPr>
              <w:rPr>
                <w:rFonts w:ascii="Arial" w:hAnsi="Arial" w:cs="Arial"/>
                <w:b/>
                <w:szCs w:val="20"/>
              </w:rPr>
            </w:pPr>
            <w:r w:rsidRPr="005A23AD">
              <w:rPr>
                <w:rFonts w:ascii="Arial" w:hAnsi="Arial" w:cs="Arial"/>
                <w:b/>
                <w:bCs/>
                <w:szCs w:val="20"/>
              </w:rPr>
              <w:lastRenderedPageBreak/>
              <w:t>Justificación</w:t>
            </w:r>
          </w:p>
        </w:tc>
      </w:tr>
      <w:tr w:rsidR="0026361C" w:rsidRPr="0026361C" w14:paraId="55F87BB1" w14:textId="77777777" w:rsidTr="009F6EE7">
        <w:trPr>
          <w:trHeight w:val="241"/>
        </w:trPr>
        <w:tc>
          <w:tcPr>
            <w:tcW w:w="95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F69E2B" w14:textId="049041AC" w:rsidR="005A23AD" w:rsidRPr="0026361C" w:rsidRDefault="005A23AD" w:rsidP="005A23AD">
            <w:pPr>
              <w:jc w:val="both"/>
              <w:rPr>
                <w:rFonts w:ascii="Arial" w:hAnsi="Arial"/>
                <w:sz w:val="20"/>
                <w:szCs w:val="20"/>
              </w:rPr>
            </w:pPr>
            <w:r w:rsidRPr="0026361C">
              <w:rPr>
                <w:rFonts w:ascii="Arial" w:hAnsi="Arial"/>
                <w:sz w:val="20"/>
                <w:szCs w:val="20"/>
              </w:rPr>
              <w:t>El modelo de servicio MSE Sobresaliente, al cual se asocia el presente indicador, inicialmente</w:t>
            </w:r>
            <w:r w:rsidRPr="0026361C">
              <w:rPr>
                <w:rStyle w:val="Refdenotaalpie"/>
                <w:rFonts w:ascii="Arial" w:hAnsi="Arial"/>
                <w:sz w:val="20"/>
                <w:szCs w:val="20"/>
              </w:rPr>
              <w:footnoteReference w:id="6"/>
            </w:r>
            <w:r w:rsidRPr="0026361C">
              <w:rPr>
                <w:rFonts w:ascii="Arial" w:hAnsi="Arial"/>
                <w:sz w:val="20"/>
                <w:szCs w:val="20"/>
              </w:rPr>
              <w:t xml:space="preserve">  mencionaba como objetivo general “Proporcionar a los estudiantes de alto desempeño de la Educación Básica Regular de todas las regiones del país un servicio educativo con altos estándares de calidad nacional e internacional que permita fortalecer sus competencias personales, académicas, artísticas y/o deportivas para constituir una red de líderes capaces de contribuir al desarrollo local, regional, nacional y mundial”. Posteriormente, en el año 2019, se actualizó la denominación modelo de servicio a “Modelo de Servicio para la Atención de Estudiantes con Habilidades Sobresalientes”</w:t>
            </w:r>
            <w:r w:rsidR="00C62CF0">
              <w:rPr>
                <w:rFonts w:ascii="Arial" w:hAnsi="Arial"/>
                <w:sz w:val="20"/>
                <w:szCs w:val="20"/>
              </w:rPr>
              <w:t xml:space="preserve"> y finalmente en el 2023 se cambió a “</w:t>
            </w:r>
            <w:r w:rsidR="00C62CF0" w:rsidRPr="006C4DAD">
              <w:rPr>
                <w:rFonts w:ascii="Arial" w:hAnsi="Arial"/>
                <w:sz w:val="20"/>
                <w:szCs w:val="20"/>
              </w:rPr>
              <w:t xml:space="preserve">Modelo de </w:t>
            </w:r>
            <w:r w:rsidR="00C62CF0">
              <w:rPr>
                <w:rFonts w:ascii="Arial" w:hAnsi="Arial"/>
                <w:sz w:val="20"/>
                <w:szCs w:val="20"/>
              </w:rPr>
              <w:t>s</w:t>
            </w:r>
            <w:r w:rsidR="00C62CF0" w:rsidRPr="006C4DAD">
              <w:rPr>
                <w:rFonts w:ascii="Arial" w:hAnsi="Arial"/>
                <w:sz w:val="20"/>
                <w:szCs w:val="20"/>
              </w:rPr>
              <w:t xml:space="preserve">ervicio </w:t>
            </w:r>
            <w:r w:rsidR="00C62CF0">
              <w:rPr>
                <w:rFonts w:ascii="Arial" w:hAnsi="Arial"/>
                <w:sz w:val="20"/>
                <w:szCs w:val="20"/>
              </w:rPr>
              <w:t>e</w:t>
            </w:r>
            <w:r w:rsidR="00C62CF0" w:rsidRPr="006C4DAD">
              <w:rPr>
                <w:rFonts w:ascii="Arial" w:hAnsi="Arial"/>
                <w:sz w:val="20"/>
                <w:szCs w:val="20"/>
              </w:rPr>
              <w:t xml:space="preserve">ducativo para la </w:t>
            </w:r>
            <w:r w:rsidR="00C62CF0">
              <w:rPr>
                <w:rFonts w:ascii="Arial" w:hAnsi="Arial"/>
                <w:sz w:val="20"/>
                <w:szCs w:val="20"/>
              </w:rPr>
              <w:t>a</w:t>
            </w:r>
            <w:r w:rsidR="00C62CF0" w:rsidRPr="006C4DAD">
              <w:rPr>
                <w:rFonts w:ascii="Arial" w:hAnsi="Arial"/>
                <w:sz w:val="20"/>
                <w:szCs w:val="20"/>
              </w:rPr>
              <w:t xml:space="preserve">tención de </w:t>
            </w:r>
            <w:r w:rsidR="00C62CF0">
              <w:rPr>
                <w:rFonts w:ascii="Arial" w:hAnsi="Arial"/>
                <w:sz w:val="20"/>
                <w:szCs w:val="20"/>
              </w:rPr>
              <w:t>e</w:t>
            </w:r>
            <w:r w:rsidR="00C62CF0" w:rsidRPr="006C4DAD">
              <w:rPr>
                <w:rFonts w:ascii="Arial" w:hAnsi="Arial"/>
                <w:sz w:val="20"/>
                <w:szCs w:val="20"/>
              </w:rPr>
              <w:t xml:space="preserve">studiantes con </w:t>
            </w:r>
            <w:r w:rsidR="00C62CF0">
              <w:rPr>
                <w:rFonts w:ascii="Arial" w:hAnsi="Arial"/>
                <w:sz w:val="20"/>
                <w:szCs w:val="20"/>
              </w:rPr>
              <w:t>h</w:t>
            </w:r>
            <w:r w:rsidR="00C62CF0" w:rsidRPr="006C4DAD">
              <w:rPr>
                <w:rFonts w:ascii="Arial" w:hAnsi="Arial"/>
                <w:sz w:val="20"/>
                <w:szCs w:val="20"/>
              </w:rPr>
              <w:t xml:space="preserve">abilidades </w:t>
            </w:r>
            <w:r w:rsidR="00C62CF0">
              <w:rPr>
                <w:rFonts w:ascii="Arial" w:hAnsi="Arial"/>
                <w:sz w:val="20"/>
                <w:szCs w:val="20"/>
              </w:rPr>
              <w:t>s</w:t>
            </w:r>
            <w:r w:rsidR="00C62CF0" w:rsidRPr="006C4DAD">
              <w:rPr>
                <w:rFonts w:ascii="Arial" w:hAnsi="Arial"/>
                <w:sz w:val="20"/>
                <w:szCs w:val="20"/>
              </w:rPr>
              <w:t xml:space="preserve">obresalientes </w:t>
            </w:r>
            <w:r w:rsidR="00C62CF0" w:rsidRPr="00F36415">
              <w:rPr>
                <w:rFonts w:ascii="Arial" w:hAnsi="Arial"/>
                <w:sz w:val="20"/>
                <w:szCs w:val="20"/>
              </w:rPr>
              <w:t>y alto desempeño académico, artístico y/o deportivo</w:t>
            </w:r>
            <w:r w:rsidRPr="0026361C">
              <w:rPr>
                <w:rFonts w:ascii="Arial" w:hAnsi="Arial"/>
                <w:sz w:val="20"/>
                <w:szCs w:val="20"/>
              </w:rPr>
              <w:t xml:space="preserve"> (MSE Sobresaliente). </w:t>
            </w:r>
            <w:r w:rsidR="00C62CF0" w:rsidRPr="005A5A3D">
              <w:rPr>
                <w:rFonts w:ascii="Arial" w:hAnsi="Arial"/>
                <w:sz w:val="20"/>
                <w:szCs w:val="20"/>
              </w:rPr>
              <w:t>El MSE Sobresaliente ofrece una atención educativa integral que permite a los estudiantes reforzar sus habilidades, así como vincularlas con un plan de vida pleno e integral producto de su trayectoria educativa en el COAR, lo cual permite alcanzar los aprendizajes establecidos para los egresados de la educación básica regular. Para ello, el MSE Sobresaliente se implementa en tres formas de atención diseñadas en función al potenciamiento de las habilidades sobresalientes en los ámbitos académico, deportivo y/o artístico</w:t>
            </w:r>
            <w:r w:rsidR="00D212A5">
              <w:rPr>
                <w:rStyle w:val="Refdenotaalpie"/>
                <w:rFonts w:ascii="Arial" w:hAnsi="Arial"/>
                <w:sz w:val="20"/>
                <w:szCs w:val="20"/>
              </w:rPr>
              <w:footnoteReference w:id="7"/>
            </w:r>
            <w:r w:rsidR="002D6B23">
              <w:rPr>
                <w:rFonts w:ascii="Arial" w:hAnsi="Arial"/>
                <w:sz w:val="20"/>
                <w:szCs w:val="20"/>
              </w:rPr>
              <w:t>.</w:t>
            </w:r>
          </w:p>
          <w:p w14:paraId="7C1ED26D" w14:textId="77777777" w:rsidR="005A23AD" w:rsidRPr="0026361C" w:rsidRDefault="005A23AD" w:rsidP="005A23AD">
            <w:pPr>
              <w:jc w:val="both"/>
              <w:rPr>
                <w:rFonts w:ascii="Arial" w:hAnsi="Arial"/>
                <w:sz w:val="20"/>
                <w:szCs w:val="20"/>
              </w:rPr>
            </w:pPr>
          </w:p>
          <w:p w14:paraId="457B94A3" w14:textId="77777777" w:rsidR="005A23AD" w:rsidRPr="0026361C" w:rsidRDefault="005A23AD" w:rsidP="005A23AD">
            <w:pPr>
              <w:jc w:val="both"/>
              <w:rPr>
                <w:rFonts w:ascii="Arial" w:hAnsi="Arial"/>
                <w:sz w:val="20"/>
                <w:szCs w:val="20"/>
              </w:rPr>
            </w:pPr>
            <w:r w:rsidRPr="0026361C">
              <w:rPr>
                <w:rFonts w:ascii="Arial" w:hAnsi="Arial"/>
                <w:sz w:val="20"/>
                <w:szCs w:val="20"/>
              </w:rPr>
              <w:t>Este indicador permite medir directamente la brecha de la infraestructura educativa de las instituciones que desarrollan el MSE Sobresaliente. El cierre de esta brecha está vinculado directamente con la ejecución de proyectos de inversión e inversiones de optimización, de ampliación marginal, de reposición y de rehabilitación.</w:t>
            </w:r>
            <w:r w:rsidRPr="0026361C" w:rsidDel="008D1239">
              <w:rPr>
                <w:rFonts w:ascii="Arial" w:hAnsi="Arial"/>
                <w:sz w:val="20"/>
                <w:szCs w:val="20"/>
              </w:rPr>
              <w:t xml:space="preserve"> </w:t>
            </w:r>
          </w:p>
          <w:p w14:paraId="31020091" w14:textId="77777777" w:rsidR="005A23AD" w:rsidRPr="0026361C" w:rsidRDefault="005A23AD" w:rsidP="005A23AD">
            <w:pPr>
              <w:jc w:val="both"/>
              <w:rPr>
                <w:rFonts w:ascii="Arial" w:hAnsi="Arial"/>
                <w:sz w:val="20"/>
                <w:szCs w:val="20"/>
              </w:rPr>
            </w:pPr>
          </w:p>
          <w:p w14:paraId="3D88A177" w14:textId="40AFA091" w:rsidR="002D6B23" w:rsidRDefault="005A23AD" w:rsidP="005A23AD">
            <w:pPr>
              <w:jc w:val="both"/>
              <w:rPr>
                <w:rFonts w:ascii="Arial" w:hAnsi="Arial"/>
                <w:sz w:val="20"/>
                <w:szCs w:val="20"/>
                <w:lang w:val="es-MX"/>
              </w:rPr>
            </w:pPr>
            <w:r w:rsidRPr="0026361C">
              <w:rPr>
                <w:rFonts w:ascii="Arial" w:hAnsi="Arial"/>
                <w:sz w:val="20"/>
                <w:szCs w:val="20"/>
                <w:lang w:val="es-MX"/>
              </w:rPr>
              <w:t xml:space="preserve">El presente indicador, cumple con los criterios mínimos para asegurar la calidad y pertinencia de un indicador, dado que es simple, fácil de elaborar y medir. El indicador es específico, ya que es explícito respecto al objetivo que se desea medir, permitiendo verificar si el resultado se ha cumplido. Es medible, ya que puede ser cuantificable mediante la aplicación de la sintaxis y las fuentes de datos. Es apropiado, ya que a la fecha es el único indicador que mide la brecha de acceso al </w:t>
            </w:r>
            <w:r w:rsidRPr="0026361C">
              <w:rPr>
                <w:rFonts w:ascii="Arial" w:hAnsi="Arial" w:cs="Arial"/>
                <w:sz w:val="20"/>
                <w:szCs w:val="20"/>
              </w:rPr>
              <w:t>MSE Sobresaliente</w:t>
            </w:r>
            <w:r w:rsidRPr="0026361C">
              <w:rPr>
                <w:rFonts w:ascii="Arial" w:hAnsi="Arial"/>
                <w:sz w:val="20"/>
                <w:szCs w:val="20"/>
                <w:lang w:val="es-MX"/>
              </w:rPr>
              <w:t xml:space="preserve"> en el marco del Invierte.pe. Es realista, ya que es posible medir el indicador con los recursos disponibles y la experiencia técnica de la entidad. Finalmente, el indicador es temporal, ya que dentro de la ficha se especifica la frecuencia o periodicidad de medición del indicador, la cual está sujeta a la disponibilidad de la información y a los objetivos del indicador.</w:t>
            </w:r>
          </w:p>
          <w:p w14:paraId="2CE8D18E" w14:textId="77777777" w:rsidR="002D6B23" w:rsidRDefault="002D6B23" w:rsidP="005A23AD">
            <w:pPr>
              <w:jc w:val="both"/>
              <w:rPr>
                <w:rFonts w:ascii="Arial" w:hAnsi="Arial"/>
                <w:sz w:val="20"/>
                <w:szCs w:val="20"/>
                <w:lang w:val="es-MX"/>
              </w:rPr>
            </w:pPr>
          </w:p>
          <w:p w14:paraId="7DCB118B" w14:textId="77777777" w:rsidR="002D6B23" w:rsidRDefault="002D6B23" w:rsidP="005A23AD">
            <w:pPr>
              <w:jc w:val="both"/>
              <w:rPr>
                <w:rFonts w:ascii="Arial" w:hAnsi="Arial"/>
                <w:sz w:val="20"/>
                <w:szCs w:val="20"/>
                <w:lang w:val="es-MX"/>
              </w:rPr>
            </w:pPr>
          </w:p>
          <w:p w14:paraId="03DEED29" w14:textId="77777777" w:rsidR="002D6B23" w:rsidRDefault="002D6B23" w:rsidP="005A23AD">
            <w:pPr>
              <w:jc w:val="both"/>
              <w:rPr>
                <w:rFonts w:ascii="Arial" w:hAnsi="Arial"/>
                <w:sz w:val="20"/>
                <w:szCs w:val="20"/>
                <w:lang w:val="es-MX"/>
              </w:rPr>
            </w:pPr>
          </w:p>
          <w:p w14:paraId="0EC88382" w14:textId="77777777" w:rsidR="002D6B23" w:rsidRDefault="002D6B23" w:rsidP="005A23AD">
            <w:pPr>
              <w:jc w:val="both"/>
              <w:rPr>
                <w:rFonts w:ascii="Arial" w:hAnsi="Arial"/>
                <w:sz w:val="20"/>
                <w:szCs w:val="20"/>
                <w:lang w:val="es-MX"/>
              </w:rPr>
            </w:pPr>
          </w:p>
          <w:p w14:paraId="4CD2F192" w14:textId="77777777" w:rsidR="002D6B23" w:rsidRDefault="002D6B23" w:rsidP="005A23AD">
            <w:pPr>
              <w:jc w:val="both"/>
              <w:rPr>
                <w:rFonts w:ascii="Arial" w:hAnsi="Arial"/>
                <w:sz w:val="20"/>
                <w:szCs w:val="20"/>
                <w:lang w:val="es-MX"/>
              </w:rPr>
            </w:pPr>
          </w:p>
          <w:p w14:paraId="79B962ED" w14:textId="77777777" w:rsidR="002D6B23" w:rsidRPr="0026361C" w:rsidRDefault="002D6B23" w:rsidP="005A23AD">
            <w:pPr>
              <w:jc w:val="both"/>
              <w:rPr>
                <w:rFonts w:ascii="Arial" w:hAnsi="Arial"/>
                <w:sz w:val="20"/>
                <w:szCs w:val="20"/>
                <w:lang w:val="es-MX"/>
              </w:rPr>
            </w:pPr>
          </w:p>
          <w:p w14:paraId="7D76E9E9" w14:textId="5CF90B53" w:rsidR="002C6B38" w:rsidRPr="0026361C" w:rsidRDefault="002C6B38" w:rsidP="002C6B38">
            <w:pPr>
              <w:rPr>
                <w:rFonts w:ascii="Arial" w:hAnsi="Arial" w:cs="Arial"/>
                <w:b/>
                <w:szCs w:val="20"/>
                <w:lang w:val="es-MX"/>
              </w:rPr>
            </w:pPr>
          </w:p>
        </w:tc>
      </w:tr>
      <w:tr w:rsidR="0026361C" w:rsidRPr="0026361C" w14:paraId="2915C75B" w14:textId="77777777" w:rsidTr="009F6EE7">
        <w:trPr>
          <w:trHeight w:val="241"/>
        </w:trPr>
        <w:tc>
          <w:tcPr>
            <w:tcW w:w="9500" w:type="dxa"/>
            <w:gridSpan w:val="7"/>
            <w:tcBorders>
              <w:top w:val="single" w:sz="4" w:space="0" w:color="auto"/>
              <w:left w:val="single" w:sz="4" w:space="0" w:color="auto"/>
              <w:right w:val="single" w:sz="4" w:space="0" w:color="auto"/>
            </w:tcBorders>
            <w:shd w:val="clear" w:color="auto" w:fill="auto"/>
            <w:vAlign w:val="center"/>
          </w:tcPr>
          <w:p w14:paraId="364C52EB" w14:textId="7FDE5134" w:rsidR="002C6B38" w:rsidRPr="0026361C" w:rsidRDefault="002C6B38" w:rsidP="002C6B38">
            <w:pPr>
              <w:rPr>
                <w:rFonts w:ascii="Arial" w:hAnsi="Arial" w:cs="Arial"/>
                <w:b/>
                <w:szCs w:val="20"/>
              </w:rPr>
            </w:pPr>
            <w:r w:rsidRPr="0026361C">
              <w:rPr>
                <w:rFonts w:ascii="Arial" w:hAnsi="Arial" w:cs="Arial"/>
                <w:b/>
                <w:szCs w:val="20"/>
              </w:rPr>
              <w:lastRenderedPageBreak/>
              <w:t>Método de Cálculo</w:t>
            </w:r>
          </w:p>
        </w:tc>
      </w:tr>
      <w:tr w:rsidR="0026361C" w:rsidRPr="0026361C" w14:paraId="4DEBCCAC" w14:textId="77777777" w:rsidTr="00791B39">
        <w:trPr>
          <w:trHeight w:val="165"/>
        </w:trPr>
        <w:tc>
          <w:tcPr>
            <w:tcW w:w="3444" w:type="dxa"/>
            <w:tcBorders>
              <w:top w:val="single" w:sz="4" w:space="0" w:color="auto"/>
              <w:left w:val="single" w:sz="4" w:space="0" w:color="auto"/>
            </w:tcBorders>
            <w:vAlign w:val="center"/>
          </w:tcPr>
          <w:p w14:paraId="7520FA26" w14:textId="6C321486" w:rsidR="002C6B38" w:rsidRPr="0026361C" w:rsidRDefault="002C6B38" w:rsidP="002C6B38">
            <w:pPr>
              <w:rPr>
                <w:rFonts w:ascii="Arial" w:hAnsi="Arial" w:cs="Arial"/>
                <w:sz w:val="18"/>
                <w:szCs w:val="20"/>
              </w:rPr>
            </w:pPr>
          </w:p>
        </w:tc>
        <w:tc>
          <w:tcPr>
            <w:tcW w:w="698" w:type="dxa"/>
            <w:tcBorders>
              <w:top w:val="single" w:sz="4" w:space="0" w:color="auto"/>
            </w:tcBorders>
            <w:vAlign w:val="center"/>
          </w:tcPr>
          <w:p w14:paraId="0D298C07" w14:textId="77777777" w:rsidR="002C6B38" w:rsidRPr="0026361C" w:rsidRDefault="002C6B38" w:rsidP="002C6B38">
            <w:pPr>
              <w:rPr>
                <w:rFonts w:ascii="Arial" w:hAnsi="Arial" w:cs="Arial"/>
                <w:noProof/>
                <w:sz w:val="18"/>
                <w:szCs w:val="20"/>
                <w:lang w:val="es-ES" w:eastAsia="es-ES"/>
              </w:rPr>
            </w:pPr>
          </w:p>
        </w:tc>
        <w:tc>
          <w:tcPr>
            <w:tcW w:w="693" w:type="dxa"/>
            <w:tcBorders>
              <w:top w:val="single" w:sz="4" w:space="0" w:color="auto"/>
            </w:tcBorders>
            <w:vAlign w:val="center"/>
          </w:tcPr>
          <w:p w14:paraId="0DEDA4B7" w14:textId="77777777" w:rsidR="002C6B38" w:rsidRPr="0026361C" w:rsidRDefault="002C6B38" w:rsidP="002C6B38">
            <w:pPr>
              <w:rPr>
                <w:rFonts w:ascii="Arial" w:hAnsi="Arial" w:cs="Arial"/>
                <w:sz w:val="18"/>
                <w:szCs w:val="20"/>
              </w:rPr>
            </w:pPr>
          </w:p>
        </w:tc>
        <w:tc>
          <w:tcPr>
            <w:tcW w:w="2071" w:type="dxa"/>
            <w:tcBorders>
              <w:top w:val="single" w:sz="4" w:space="0" w:color="auto"/>
            </w:tcBorders>
            <w:vAlign w:val="center"/>
          </w:tcPr>
          <w:p w14:paraId="70D4AE7C" w14:textId="77777777" w:rsidR="002C6B38" w:rsidRPr="0026361C" w:rsidRDefault="002C6B38" w:rsidP="002C6B38">
            <w:pPr>
              <w:rPr>
                <w:rFonts w:ascii="Arial" w:hAnsi="Arial" w:cs="Arial"/>
                <w:sz w:val="18"/>
                <w:szCs w:val="20"/>
              </w:rPr>
            </w:pPr>
          </w:p>
        </w:tc>
        <w:tc>
          <w:tcPr>
            <w:tcW w:w="1102" w:type="dxa"/>
            <w:tcBorders>
              <w:top w:val="single" w:sz="4" w:space="0" w:color="auto"/>
            </w:tcBorders>
            <w:vAlign w:val="center"/>
          </w:tcPr>
          <w:p w14:paraId="2A36B91E" w14:textId="77777777" w:rsidR="002C6B38" w:rsidRPr="0026361C" w:rsidRDefault="002C6B38" w:rsidP="002C6B38">
            <w:pPr>
              <w:rPr>
                <w:rFonts w:ascii="Arial" w:hAnsi="Arial" w:cs="Arial"/>
                <w:sz w:val="18"/>
                <w:szCs w:val="20"/>
              </w:rPr>
            </w:pPr>
          </w:p>
        </w:tc>
        <w:tc>
          <w:tcPr>
            <w:tcW w:w="800" w:type="dxa"/>
            <w:tcBorders>
              <w:top w:val="single" w:sz="4" w:space="0" w:color="auto"/>
            </w:tcBorders>
            <w:vAlign w:val="center"/>
          </w:tcPr>
          <w:p w14:paraId="1068874C" w14:textId="77777777" w:rsidR="002C6B38" w:rsidRPr="0026361C" w:rsidRDefault="002C6B38" w:rsidP="002C6B38">
            <w:pPr>
              <w:rPr>
                <w:rFonts w:ascii="Arial" w:hAnsi="Arial" w:cs="Arial"/>
                <w:sz w:val="18"/>
                <w:szCs w:val="20"/>
              </w:rPr>
            </w:pPr>
          </w:p>
        </w:tc>
        <w:tc>
          <w:tcPr>
            <w:tcW w:w="692" w:type="dxa"/>
            <w:tcBorders>
              <w:top w:val="single" w:sz="4" w:space="0" w:color="auto"/>
              <w:right w:val="single" w:sz="4" w:space="0" w:color="auto"/>
            </w:tcBorders>
            <w:vAlign w:val="center"/>
          </w:tcPr>
          <w:p w14:paraId="151B2875" w14:textId="77777777" w:rsidR="002C6B38" w:rsidRPr="0026361C" w:rsidRDefault="002C6B38" w:rsidP="002C6B38">
            <w:pPr>
              <w:rPr>
                <w:rFonts w:ascii="Arial" w:hAnsi="Arial" w:cs="Arial"/>
                <w:sz w:val="18"/>
                <w:szCs w:val="20"/>
              </w:rPr>
            </w:pPr>
          </w:p>
        </w:tc>
      </w:tr>
      <w:tr w:rsidR="0026361C" w:rsidRPr="0026361C" w14:paraId="04346496" w14:textId="451BB1F0" w:rsidTr="000231F2">
        <w:trPr>
          <w:trHeight w:val="357"/>
        </w:trPr>
        <w:tc>
          <w:tcPr>
            <w:tcW w:w="3444" w:type="dxa"/>
            <w:tcBorders>
              <w:left w:val="single" w:sz="4" w:space="0" w:color="auto"/>
            </w:tcBorders>
            <w:vAlign w:val="center"/>
          </w:tcPr>
          <w:p w14:paraId="1AC3036D" w14:textId="747D65C8" w:rsidR="002C6B38" w:rsidRPr="0026361C" w:rsidRDefault="002C6B38" w:rsidP="002C6B38">
            <w:pPr>
              <w:rPr>
                <w:rFonts w:ascii="Arial" w:hAnsi="Arial" w:cs="Arial"/>
                <w:sz w:val="18"/>
                <w:szCs w:val="20"/>
              </w:rPr>
            </w:pPr>
          </w:p>
        </w:tc>
        <w:tc>
          <w:tcPr>
            <w:tcW w:w="698" w:type="dxa"/>
            <w:tcBorders>
              <w:left w:val="nil"/>
            </w:tcBorders>
            <w:vAlign w:val="center"/>
          </w:tcPr>
          <w:p w14:paraId="72BF8E75" w14:textId="47CDCB29" w:rsidR="002C6B38" w:rsidRPr="0026361C" w:rsidRDefault="002C6B38" w:rsidP="002C6B38">
            <w:pPr>
              <w:jc w:val="center"/>
              <w:rPr>
                <w:rFonts w:ascii="Arial" w:hAnsi="Arial" w:cs="Arial"/>
                <w:sz w:val="18"/>
                <w:szCs w:val="20"/>
              </w:rPr>
            </w:pPr>
            <w:r w:rsidRPr="0026361C">
              <w:rPr>
                <w:rFonts w:ascii="Arial" w:hAnsi="Arial" w:cs="Arial"/>
                <w:sz w:val="18"/>
                <w:szCs w:val="20"/>
              </w:rPr>
              <w:t>=</w:t>
            </w:r>
          </w:p>
        </w:tc>
        <w:tc>
          <w:tcPr>
            <w:tcW w:w="693" w:type="dxa"/>
            <w:vAlign w:val="center"/>
          </w:tcPr>
          <w:p w14:paraId="46672FE2" w14:textId="3C5B3C9F" w:rsidR="002C6B38" w:rsidRPr="0026361C" w:rsidRDefault="002C6B38" w:rsidP="00246044">
            <w:pPr>
              <w:rPr>
                <w:rFonts w:ascii="Arial" w:hAnsi="Arial" w:cs="Arial"/>
                <w:sz w:val="18"/>
                <w:szCs w:val="20"/>
              </w:rPr>
            </w:pPr>
            <w:r w:rsidRPr="0026361C">
              <w:rPr>
                <w:rFonts w:ascii="Arial" w:hAnsi="Arial" w:cs="Arial"/>
                <w:sz w:val="18"/>
                <w:szCs w:val="20"/>
              </w:rPr>
              <w:t xml:space="preserve">  </w:t>
            </w:r>
            <w:r w:rsidR="003E6352">
              <w:rPr>
                <w:rFonts w:ascii="Arial" w:hAnsi="Arial" w:cs="Arial"/>
                <w:sz w:val="18"/>
                <w:szCs w:val="20"/>
              </w:rPr>
              <w:t xml:space="preserve">1 - </w:t>
            </w:r>
            <w:r w:rsidRPr="0026361C">
              <w:rPr>
                <w:rFonts w:ascii="Arial" w:hAnsi="Arial" w:cs="Arial"/>
                <w:sz w:val="18"/>
                <w:szCs w:val="20"/>
              </w:rPr>
              <w:t xml:space="preserve"> </w:t>
            </w:r>
          </w:p>
        </w:tc>
        <w:tc>
          <w:tcPr>
            <w:tcW w:w="2071" w:type="dxa"/>
            <w:tcBorders>
              <w:bottom w:val="single" w:sz="4" w:space="0" w:color="auto"/>
            </w:tcBorders>
            <w:vAlign w:val="center"/>
          </w:tcPr>
          <w:p w14:paraId="70B109B8" w14:textId="6CE08FC9" w:rsidR="002C6B38" w:rsidRPr="0026361C" w:rsidRDefault="002C6B38" w:rsidP="002C6B38">
            <w:pPr>
              <w:jc w:val="center"/>
              <w:rPr>
                <w:rFonts w:ascii="Arial" w:hAnsi="Arial" w:cs="Arial"/>
                <w:sz w:val="18"/>
                <w:szCs w:val="20"/>
              </w:rPr>
            </w:pPr>
            <w:r w:rsidRPr="0026361C">
              <w:rPr>
                <w:rFonts w:ascii="Arial" w:hAnsi="Arial" w:cs="Arial"/>
                <w:sz w:val="18"/>
                <w:szCs w:val="20"/>
              </w:rPr>
              <w:t>Implementa</w:t>
            </w:r>
            <w:r w:rsidR="003E6352">
              <w:rPr>
                <w:rFonts w:ascii="Arial" w:hAnsi="Arial" w:cs="Arial"/>
                <w:sz w:val="18"/>
                <w:szCs w:val="20"/>
              </w:rPr>
              <w:t>do</w:t>
            </w:r>
          </w:p>
        </w:tc>
        <w:tc>
          <w:tcPr>
            <w:tcW w:w="1102" w:type="dxa"/>
            <w:vAlign w:val="center"/>
          </w:tcPr>
          <w:p w14:paraId="62DEA624" w14:textId="3B75AE6A" w:rsidR="002C6B38" w:rsidRPr="0026361C" w:rsidRDefault="002C6B38" w:rsidP="002C6B38">
            <w:pPr>
              <w:rPr>
                <w:rFonts w:ascii="Arial" w:hAnsi="Arial" w:cs="Arial"/>
                <w:sz w:val="18"/>
                <w:szCs w:val="20"/>
              </w:rPr>
            </w:pPr>
            <w:r w:rsidRPr="0026361C">
              <w:rPr>
                <w:rFonts w:ascii="Arial" w:hAnsi="Arial" w:cs="Arial"/>
                <w:sz w:val="18"/>
                <w:szCs w:val="20"/>
              </w:rPr>
              <w:t>x 100</w:t>
            </w:r>
            <w:r w:rsidR="00670EDB">
              <w:rPr>
                <w:rFonts w:ascii="Arial" w:hAnsi="Arial" w:cs="Arial"/>
                <w:sz w:val="18"/>
                <w:szCs w:val="20"/>
              </w:rPr>
              <w:t>%</w:t>
            </w:r>
            <w:r w:rsidRPr="0026361C">
              <w:rPr>
                <w:rFonts w:ascii="Arial" w:hAnsi="Arial" w:cs="Arial"/>
                <w:sz w:val="18"/>
                <w:szCs w:val="20"/>
              </w:rPr>
              <w:t xml:space="preserve">   =</w:t>
            </w:r>
          </w:p>
        </w:tc>
        <w:tc>
          <w:tcPr>
            <w:tcW w:w="800" w:type="dxa"/>
            <w:vAlign w:val="center"/>
          </w:tcPr>
          <w:p w14:paraId="57DD5484" w14:textId="77777777" w:rsidR="002C6B38" w:rsidRPr="0026361C" w:rsidRDefault="002C6B38" w:rsidP="002C6B38">
            <w:pPr>
              <w:rPr>
                <w:rFonts w:ascii="Arial" w:hAnsi="Arial" w:cs="Arial"/>
                <w:sz w:val="18"/>
                <w:szCs w:val="20"/>
              </w:rPr>
            </w:pPr>
          </w:p>
        </w:tc>
        <w:tc>
          <w:tcPr>
            <w:tcW w:w="692" w:type="dxa"/>
            <w:tcBorders>
              <w:right w:val="single" w:sz="4" w:space="0" w:color="auto"/>
            </w:tcBorders>
            <w:vAlign w:val="center"/>
          </w:tcPr>
          <w:p w14:paraId="52860EAA" w14:textId="77777777" w:rsidR="002C6B38" w:rsidRPr="0026361C" w:rsidRDefault="002C6B38" w:rsidP="002C6B38">
            <w:pPr>
              <w:rPr>
                <w:rFonts w:ascii="Arial" w:hAnsi="Arial" w:cs="Arial"/>
                <w:sz w:val="18"/>
                <w:szCs w:val="20"/>
              </w:rPr>
            </w:pPr>
          </w:p>
        </w:tc>
      </w:tr>
      <w:tr w:rsidR="0026361C" w:rsidRPr="0026361C" w14:paraId="344D86A3" w14:textId="7BED7EB9" w:rsidTr="000231F2">
        <w:trPr>
          <w:trHeight w:val="255"/>
        </w:trPr>
        <w:tc>
          <w:tcPr>
            <w:tcW w:w="3444" w:type="dxa"/>
            <w:tcBorders>
              <w:left w:val="single" w:sz="4" w:space="0" w:color="auto"/>
            </w:tcBorders>
            <w:vAlign w:val="center"/>
          </w:tcPr>
          <w:p w14:paraId="4A25112C" w14:textId="168B723D" w:rsidR="002C6B38" w:rsidRPr="0026361C" w:rsidRDefault="002C6B38" w:rsidP="002C6B38">
            <w:pPr>
              <w:rPr>
                <w:rFonts w:ascii="Arial" w:hAnsi="Arial" w:cs="Arial"/>
                <w:sz w:val="18"/>
                <w:szCs w:val="20"/>
              </w:rPr>
            </w:pPr>
          </w:p>
        </w:tc>
        <w:tc>
          <w:tcPr>
            <w:tcW w:w="698" w:type="dxa"/>
            <w:tcBorders>
              <w:left w:val="nil"/>
            </w:tcBorders>
            <w:vAlign w:val="center"/>
          </w:tcPr>
          <w:p w14:paraId="0B109815" w14:textId="77777777" w:rsidR="002C6B38" w:rsidRPr="0026361C" w:rsidRDefault="002C6B38" w:rsidP="002C6B38">
            <w:pPr>
              <w:rPr>
                <w:rFonts w:ascii="Arial" w:hAnsi="Arial" w:cs="Arial"/>
                <w:sz w:val="18"/>
                <w:szCs w:val="20"/>
              </w:rPr>
            </w:pPr>
          </w:p>
        </w:tc>
        <w:tc>
          <w:tcPr>
            <w:tcW w:w="693" w:type="dxa"/>
            <w:vAlign w:val="center"/>
          </w:tcPr>
          <w:p w14:paraId="16A721F7" w14:textId="6B73AC02" w:rsidR="002C6B38" w:rsidRPr="0026361C" w:rsidRDefault="002C6B38" w:rsidP="002C6B38">
            <w:pPr>
              <w:rPr>
                <w:rFonts w:ascii="Arial" w:hAnsi="Arial" w:cs="Arial"/>
                <w:sz w:val="18"/>
                <w:szCs w:val="20"/>
              </w:rPr>
            </w:pPr>
          </w:p>
        </w:tc>
        <w:tc>
          <w:tcPr>
            <w:tcW w:w="2071" w:type="dxa"/>
            <w:vAlign w:val="center"/>
          </w:tcPr>
          <w:p w14:paraId="2CA9FB79" w14:textId="1827ADA0" w:rsidR="002C6B38" w:rsidRPr="0026361C" w:rsidRDefault="002C6B38" w:rsidP="002C6B38">
            <w:pPr>
              <w:jc w:val="center"/>
              <w:rPr>
                <w:rFonts w:ascii="Arial" w:hAnsi="Arial" w:cs="Arial"/>
                <w:sz w:val="18"/>
                <w:szCs w:val="20"/>
              </w:rPr>
            </w:pPr>
            <w:r w:rsidRPr="0026361C">
              <w:rPr>
                <w:rFonts w:ascii="Arial" w:hAnsi="Arial" w:cs="Arial"/>
                <w:b/>
                <w:noProof/>
                <w:sz w:val="18"/>
                <w:szCs w:val="20"/>
                <w:lang w:eastAsia="es-PE"/>
              </w:rPr>
              <mc:AlternateContent>
                <mc:Choice Requires="wps">
                  <w:drawing>
                    <wp:anchor distT="0" distB="0" distL="114300" distR="114300" simplePos="0" relativeHeight="251663360" behindDoc="0" locked="0" layoutInCell="1" allowOverlap="1" wp14:anchorId="3E1DF8E0" wp14:editId="36D22A63">
                      <wp:simplePos x="0" y="0"/>
                      <wp:positionH relativeFrom="column">
                        <wp:posOffset>-497840</wp:posOffset>
                      </wp:positionH>
                      <wp:positionV relativeFrom="paragraph">
                        <wp:posOffset>-201295</wp:posOffset>
                      </wp:positionV>
                      <wp:extent cx="1743075" cy="352425"/>
                      <wp:effectExtent l="0" t="0" r="28575" b="28575"/>
                      <wp:wrapNone/>
                      <wp:docPr id="1" name="Corchetes 1"/>
                      <wp:cNvGraphicFramePr/>
                      <a:graphic xmlns:a="http://schemas.openxmlformats.org/drawingml/2006/main">
                        <a:graphicData uri="http://schemas.microsoft.com/office/word/2010/wordprocessingShape">
                          <wps:wsp>
                            <wps:cNvSpPr/>
                            <wps:spPr>
                              <a:xfrm>
                                <a:off x="0" y="0"/>
                                <a:ext cx="174307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D6F1A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1" o:spid="_x0000_s1026" type="#_x0000_t185" style="position:absolute;margin-left:-39.2pt;margin-top:-15.85pt;width:137.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" strokecolor="black [3213]" strokeweight=".5pt">
                      <v:stroke joinstyle="miter"/>
                    </v:shape>
                  </w:pict>
                </mc:Fallback>
              </mc:AlternateContent>
            </w:r>
            <w:r w:rsidRPr="0026361C">
              <w:rPr>
                <w:rFonts w:ascii="Arial" w:hAnsi="Arial" w:cs="Arial"/>
                <w:sz w:val="18"/>
                <w:szCs w:val="20"/>
              </w:rPr>
              <w:t>Demandado</w:t>
            </w:r>
          </w:p>
        </w:tc>
        <w:tc>
          <w:tcPr>
            <w:tcW w:w="1102" w:type="dxa"/>
            <w:vAlign w:val="center"/>
          </w:tcPr>
          <w:p w14:paraId="62D86CC3" w14:textId="3B2D75F6" w:rsidR="002C6B38" w:rsidRPr="0026361C" w:rsidRDefault="002C6B38" w:rsidP="002C6B38">
            <w:pPr>
              <w:rPr>
                <w:rFonts w:ascii="Arial" w:hAnsi="Arial" w:cs="Arial"/>
                <w:sz w:val="18"/>
                <w:szCs w:val="20"/>
              </w:rPr>
            </w:pPr>
          </w:p>
        </w:tc>
        <w:tc>
          <w:tcPr>
            <w:tcW w:w="800" w:type="dxa"/>
            <w:vAlign w:val="center"/>
          </w:tcPr>
          <w:p w14:paraId="5EA263D0" w14:textId="69CB78E8" w:rsidR="002C6B38" w:rsidRPr="0026361C" w:rsidRDefault="002C6B38" w:rsidP="002C6B38">
            <w:pPr>
              <w:rPr>
                <w:rFonts w:ascii="Arial" w:hAnsi="Arial" w:cs="Arial"/>
                <w:sz w:val="18"/>
                <w:szCs w:val="20"/>
              </w:rPr>
            </w:pPr>
          </w:p>
        </w:tc>
        <w:tc>
          <w:tcPr>
            <w:tcW w:w="692" w:type="dxa"/>
            <w:tcBorders>
              <w:right w:val="single" w:sz="4" w:space="0" w:color="auto"/>
            </w:tcBorders>
            <w:vAlign w:val="center"/>
          </w:tcPr>
          <w:p w14:paraId="61237FC8" w14:textId="77777777" w:rsidR="002C6B38" w:rsidRPr="0026361C" w:rsidRDefault="002C6B38" w:rsidP="002C6B38">
            <w:pPr>
              <w:rPr>
                <w:rFonts w:ascii="Arial" w:hAnsi="Arial" w:cs="Arial"/>
                <w:sz w:val="18"/>
                <w:szCs w:val="20"/>
              </w:rPr>
            </w:pPr>
          </w:p>
        </w:tc>
      </w:tr>
      <w:tr w:rsidR="0026361C" w:rsidRPr="0026361C" w14:paraId="6B5C1D44" w14:textId="29EA102C" w:rsidTr="000231F2">
        <w:trPr>
          <w:trHeight w:val="255"/>
        </w:trPr>
        <w:tc>
          <w:tcPr>
            <w:tcW w:w="3444" w:type="dxa"/>
            <w:tcBorders>
              <w:left w:val="single" w:sz="4" w:space="0" w:color="auto"/>
            </w:tcBorders>
            <w:vAlign w:val="center"/>
          </w:tcPr>
          <w:p w14:paraId="07716DD5" w14:textId="2BD341FA" w:rsidR="002C6B38" w:rsidRPr="0026361C" w:rsidRDefault="002C6B38" w:rsidP="002C6B38">
            <w:pPr>
              <w:rPr>
                <w:rFonts w:ascii="Arial" w:hAnsi="Arial" w:cs="Arial"/>
                <w:sz w:val="18"/>
                <w:szCs w:val="20"/>
              </w:rPr>
            </w:pPr>
            <w:r w:rsidRPr="0026361C">
              <w:rPr>
                <w:rFonts w:ascii="Arial" w:hAnsi="Arial" w:cs="Arial"/>
                <w:sz w:val="18"/>
                <w:szCs w:val="20"/>
              </w:rPr>
              <w:t>Donde:</w:t>
            </w:r>
          </w:p>
        </w:tc>
        <w:tc>
          <w:tcPr>
            <w:tcW w:w="698" w:type="dxa"/>
            <w:vAlign w:val="center"/>
          </w:tcPr>
          <w:p w14:paraId="258F2A4B" w14:textId="7B8B66DF" w:rsidR="002C6B38" w:rsidRPr="0026361C" w:rsidRDefault="002C6B38" w:rsidP="002C6B38">
            <w:pPr>
              <w:rPr>
                <w:rFonts w:ascii="Arial" w:hAnsi="Arial" w:cs="Arial"/>
                <w:sz w:val="18"/>
                <w:szCs w:val="20"/>
              </w:rPr>
            </w:pPr>
          </w:p>
        </w:tc>
        <w:tc>
          <w:tcPr>
            <w:tcW w:w="693" w:type="dxa"/>
            <w:tcBorders>
              <w:bottom w:val="single" w:sz="4" w:space="0" w:color="auto"/>
            </w:tcBorders>
            <w:vAlign w:val="center"/>
          </w:tcPr>
          <w:p w14:paraId="005655A5" w14:textId="29F8B727" w:rsidR="002C6B38" w:rsidRPr="0026361C" w:rsidRDefault="002C6B38" w:rsidP="002C6B38">
            <w:pPr>
              <w:rPr>
                <w:rFonts w:ascii="Arial" w:hAnsi="Arial" w:cs="Arial"/>
                <w:sz w:val="18"/>
                <w:szCs w:val="20"/>
              </w:rPr>
            </w:pPr>
          </w:p>
        </w:tc>
        <w:tc>
          <w:tcPr>
            <w:tcW w:w="2071" w:type="dxa"/>
            <w:tcBorders>
              <w:bottom w:val="single" w:sz="4" w:space="0" w:color="auto"/>
            </w:tcBorders>
            <w:vAlign w:val="center"/>
          </w:tcPr>
          <w:p w14:paraId="6E28B62D" w14:textId="28EA42F0" w:rsidR="002C6B38" w:rsidRPr="0026361C" w:rsidRDefault="002C6B38" w:rsidP="002C6B38">
            <w:pPr>
              <w:rPr>
                <w:rFonts w:ascii="Arial" w:hAnsi="Arial" w:cs="Arial"/>
                <w:sz w:val="18"/>
                <w:szCs w:val="20"/>
              </w:rPr>
            </w:pPr>
          </w:p>
        </w:tc>
        <w:tc>
          <w:tcPr>
            <w:tcW w:w="1102" w:type="dxa"/>
            <w:tcBorders>
              <w:bottom w:val="single" w:sz="4" w:space="0" w:color="auto"/>
            </w:tcBorders>
            <w:vAlign w:val="center"/>
          </w:tcPr>
          <w:p w14:paraId="33ABBBFE" w14:textId="1A28FFC9" w:rsidR="002C6B38" w:rsidRPr="0026361C" w:rsidRDefault="002C6B38" w:rsidP="002C6B38">
            <w:pPr>
              <w:rPr>
                <w:rFonts w:ascii="Arial" w:hAnsi="Arial" w:cs="Arial"/>
                <w:sz w:val="18"/>
                <w:szCs w:val="20"/>
              </w:rPr>
            </w:pPr>
          </w:p>
        </w:tc>
        <w:tc>
          <w:tcPr>
            <w:tcW w:w="800" w:type="dxa"/>
            <w:tcBorders>
              <w:bottom w:val="single" w:sz="4" w:space="0" w:color="auto"/>
            </w:tcBorders>
            <w:vAlign w:val="center"/>
          </w:tcPr>
          <w:p w14:paraId="11774132" w14:textId="059C72D4" w:rsidR="002C6B38" w:rsidRPr="0026361C" w:rsidRDefault="002C6B38" w:rsidP="002C6B38">
            <w:pPr>
              <w:rPr>
                <w:rFonts w:ascii="Arial" w:hAnsi="Arial" w:cs="Arial"/>
                <w:sz w:val="18"/>
                <w:szCs w:val="20"/>
              </w:rPr>
            </w:pPr>
          </w:p>
        </w:tc>
        <w:tc>
          <w:tcPr>
            <w:tcW w:w="692" w:type="dxa"/>
            <w:tcBorders>
              <w:right w:val="single" w:sz="4" w:space="0" w:color="auto"/>
            </w:tcBorders>
            <w:vAlign w:val="center"/>
          </w:tcPr>
          <w:p w14:paraId="137B2CC6" w14:textId="2CBCDC39" w:rsidR="002C6B38" w:rsidRPr="0026361C" w:rsidRDefault="002C6B38" w:rsidP="002C6B38">
            <w:pPr>
              <w:rPr>
                <w:rFonts w:ascii="Arial" w:hAnsi="Arial" w:cs="Arial"/>
                <w:sz w:val="18"/>
                <w:szCs w:val="20"/>
              </w:rPr>
            </w:pPr>
          </w:p>
        </w:tc>
      </w:tr>
      <w:tr w:rsidR="0026361C" w:rsidRPr="0026361C" w14:paraId="47FDDA09" w14:textId="0C401BB7" w:rsidTr="001D5D9B">
        <w:trPr>
          <w:trHeight w:val="568"/>
        </w:trPr>
        <w:tc>
          <w:tcPr>
            <w:tcW w:w="3444" w:type="dxa"/>
            <w:tcBorders>
              <w:left w:val="single" w:sz="4" w:space="0" w:color="auto"/>
            </w:tcBorders>
            <w:vAlign w:val="center"/>
          </w:tcPr>
          <w:p w14:paraId="4BF3D8E8" w14:textId="5898ED1E" w:rsidR="002C6B38" w:rsidRPr="0026361C" w:rsidRDefault="002C6B38" w:rsidP="002C6B38">
            <w:pPr>
              <w:jc w:val="right"/>
              <w:rPr>
                <w:rFonts w:ascii="Arial" w:hAnsi="Arial" w:cs="Arial"/>
                <w:sz w:val="18"/>
                <w:szCs w:val="20"/>
              </w:rPr>
            </w:pPr>
            <w:r w:rsidRPr="0026361C">
              <w:rPr>
                <w:rFonts w:ascii="Arial" w:hAnsi="Arial" w:cs="Arial"/>
                <w:sz w:val="18"/>
                <w:szCs w:val="20"/>
              </w:rPr>
              <w:t>Demandado</w:t>
            </w:r>
          </w:p>
        </w:tc>
        <w:tc>
          <w:tcPr>
            <w:tcW w:w="698" w:type="dxa"/>
            <w:tcBorders>
              <w:right w:val="single" w:sz="4" w:space="0" w:color="auto"/>
            </w:tcBorders>
            <w:vAlign w:val="center"/>
          </w:tcPr>
          <w:p w14:paraId="64D52C72" w14:textId="78168610" w:rsidR="002C6B38" w:rsidRPr="0026361C" w:rsidRDefault="002C6B38" w:rsidP="002C6B38">
            <w:pPr>
              <w:jc w:val="center"/>
              <w:rPr>
                <w:rFonts w:ascii="Arial" w:hAnsi="Arial" w:cs="Arial"/>
                <w:sz w:val="18"/>
                <w:szCs w:val="20"/>
              </w:rPr>
            </w:pPr>
            <w:r w:rsidRPr="0026361C">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63C7C1CB" w14:textId="19A92F1E" w:rsidR="002C6B38" w:rsidRPr="0026361C" w:rsidRDefault="00000000" w:rsidP="005A5A3D">
            <w:pPr>
              <w:jc w:val="both"/>
              <w:rPr>
                <w:rFonts w:ascii="Arial" w:hAnsi="Arial" w:cs="Arial"/>
                <w:sz w:val="18"/>
                <w:szCs w:val="20"/>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CTUPS</m:t>
                  </m:r>
                </m:e>
                <m:sub>
                  <m:r>
                    <m:rPr>
                      <m:sty m:val="bi"/>
                    </m:rPr>
                    <w:rPr>
                      <w:rFonts w:ascii="Cambria Math" w:hAnsi="Cambria Math"/>
                      <w:sz w:val="24"/>
                      <w:szCs w:val="24"/>
                      <w:lang w:val="en-US"/>
                    </w:rPr>
                    <m:t>t</m:t>
                  </m:r>
                </m:sub>
                <m:sup>
                  <m:r>
                    <m:rPr>
                      <m:sty m:val="b"/>
                    </m:rPr>
                    <w:rPr>
                      <w:rFonts w:ascii="Cambria Math" w:hAnsi="Cambria Math"/>
                      <w:sz w:val="24"/>
                      <w:szCs w:val="24"/>
                      <w:lang w:val="en-US"/>
                    </w:rPr>
                    <m:t xml:space="preserve"> </m:t>
                  </m:r>
                </m:sup>
              </m:sSubSup>
            </m:oMath>
            <w:r w:rsidR="003E6352" w:rsidRPr="005A5A3D">
              <w:rPr>
                <w:rFonts w:ascii="Arial" w:eastAsiaTheme="minorEastAsia" w:hAnsi="Arial" w:cs="Arial"/>
                <w:b/>
                <w:bCs/>
                <w:sz w:val="24"/>
                <w:szCs w:val="24"/>
                <w:lang w:val="en-US"/>
              </w:rPr>
              <w:t>:</w:t>
            </w:r>
            <w:r w:rsidR="003E6352">
              <w:rPr>
                <w:rFonts w:ascii="Arial" w:eastAsiaTheme="minorEastAsia" w:hAnsi="Arial" w:cs="Arial"/>
                <w:sz w:val="24"/>
                <w:szCs w:val="24"/>
                <w:lang w:val="en-US"/>
              </w:rPr>
              <w:t xml:space="preserve"> </w:t>
            </w:r>
            <w:r w:rsidR="003E6352" w:rsidRPr="0026361C">
              <w:rPr>
                <w:rFonts w:ascii="Arial" w:hAnsi="Arial"/>
                <w:sz w:val="20"/>
                <w:szCs w:val="20"/>
              </w:rPr>
              <w:t xml:space="preserve">Cantidad total de unidades productoras </w:t>
            </w:r>
            <w:r w:rsidR="003E6352" w:rsidRPr="003E6352">
              <w:rPr>
                <w:rFonts w:ascii="Arial" w:hAnsi="Arial"/>
                <w:sz w:val="20"/>
                <w:szCs w:val="20"/>
              </w:rPr>
              <w:t xml:space="preserve">que implementan el </w:t>
            </w:r>
            <w:r w:rsidR="003E6352" w:rsidRPr="0026361C">
              <w:rPr>
                <w:rFonts w:ascii="Arial" w:hAnsi="Arial"/>
                <w:sz w:val="20"/>
                <w:szCs w:val="20"/>
              </w:rPr>
              <w:t>MSE Sobresaliente</w:t>
            </w:r>
            <w:r w:rsidR="003E6352" w:rsidRPr="003E6352">
              <w:rPr>
                <w:rFonts w:ascii="Arial" w:hAnsi="Arial"/>
                <w:sz w:val="20"/>
                <w:szCs w:val="20"/>
              </w:rPr>
              <w:t xml:space="preserve"> </w:t>
            </w:r>
            <w:r w:rsidR="003E6352" w:rsidRPr="0026361C">
              <w:rPr>
                <w:rFonts w:ascii="Arial" w:hAnsi="Arial"/>
                <w:sz w:val="20"/>
                <w:szCs w:val="20"/>
              </w:rPr>
              <w:t>identificadas en la Base de Datos de Monitoreo del Estado de las Unidades Productoras en el Marco del Invierte.pe, del Plan Nacional de Infraestructura Educativa, y del Censo Educativo en el tiempo t.</w:t>
            </w:r>
          </w:p>
        </w:tc>
        <w:tc>
          <w:tcPr>
            <w:tcW w:w="692" w:type="dxa"/>
            <w:tcBorders>
              <w:left w:val="single" w:sz="4" w:space="0" w:color="auto"/>
              <w:right w:val="single" w:sz="4" w:space="0" w:color="auto"/>
            </w:tcBorders>
            <w:vAlign w:val="center"/>
          </w:tcPr>
          <w:p w14:paraId="1273E212" w14:textId="77777777" w:rsidR="002C6B38" w:rsidRPr="0026361C" w:rsidRDefault="002C6B38" w:rsidP="002C6B38">
            <w:pPr>
              <w:rPr>
                <w:rFonts w:ascii="Arial" w:hAnsi="Arial" w:cs="Arial"/>
                <w:sz w:val="18"/>
                <w:szCs w:val="20"/>
              </w:rPr>
            </w:pPr>
          </w:p>
        </w:tc>
      </w:tr>
      <w:tr w:rsidR="0026361C" w:rsidRPr="0026361C" w14:paraId="39D30842" w14:textId="092753BF" w:rsidTr="00791B39">
        <w:trPr>
          <w:trHeight w:val="160"/>
        </w:trPr>
        <w:tc>
          <w:tcPr>
            <w:tcW w:w="9500" w:type="dxa"/>
            <w:gridSpan w:val="7"/>
            <w:tcBorders>
              <w:left w:val="single" w:sz="4" w:space="0" w:color="auto"/>
              <w:right w:val="single" w:sz="4" w:space="0" w:color="auto"/>
            </w:tcBorders>
            <w:vAlign w:val="center"/>
          </w:tcPr>
          <w:p w14:paraId="44C48A46" w14:textId="77777777" w:rsidR="002C6B38" w:rsidRPr="0026361C" w:rsidRDefault="002C6B38" w:rsidP="002C6B38">
            <w:pPr>
              <w:rPr>
                <w:rFonts w:ascii="Arial" w:hAnsi="Arial" w:cs="Arial"/>
                <w:sz w:val="18"/>
                <w:szCs w:val="20"/>
              </w:rPr>
            </w:pPr>
          </w:p>
        </w:tc>
      </w:tr>
      <w:tr w:rsidR="0026361C" w:rsidRPr="0026361C" w14:paraId="0444C1B3" w14:textId="146F9E5D" w:rsidTr="002C6B38">
        <w:trPr>
          <w:trHeight w:val="593"/>
        </w:trPr>
        <w:tc>
          <w:tcPr>
            <w:tcW w:w="3444" w:type="dxa"/>
            <w:tcBorders>
              <w:left w:val="single" w:sz="4" w:space="0" w:color="auto"/>
              <w:bottom w:val="single" w:sz="4" w:space="0" w:color="auto"/>
            </w:tcBorders>
            <w:vAlign w:val="center"/>
          </w:tcPr>
          <w:p w14:paraId="18557181" w14:textId="4521CF05" w:rsidR="002C6B38" w:rsidRPr="0026361C" w:rsidRDefault="00CF00D1" w:rsidP="002C6B38">
            <w:pPr>
              <w:jc w:val="right"/>
              <w:rPr>
                <w:rFonts w:ascii="Arial" w:hAnsi="Arial" w:cs="Arial"/>
                <w:sz w:val="18"/>
                <w:szCs w:val="20"/>
              </w:rPr>
            </w:pPr>
            <w:r>
              <w:rPr>
                <w:rFonts w:ascii="Arial" w:hAnsi="Arial" w:cs="Arial"/>
                <w:sz w:val="18"/>
                <w:szCs w:val="20"/>
              </w:rPr>
              <w:t>Implementado</w:t>
            </w:r>
          </w:p>
        </w:tc>
        <w:tc>
          <w:tcPr>
            <w:tcW w:w="698" w:type="dxa"/>
            <w:tcBorders>
              <w:bottom w:val="single" w:sz="4" w:space="0" w:color="auto"/>
              <w:right w:val="single" w:sz="4" w:space="0" w:color="auto"/>
            </w:tcBorders>
            <w:vAlign w:val="center"/>
          </w:tcPr>
          <w:p w14:paraId="20F01258" w14:textId="1321F9DE" w:rsidR="002C6B38" w:rsidRPr="0026361C" w:rsidRDefault="002C6B38" w:rsidP="002C6B38">
            <w:pPr>
              <w:jc w:val="center"/>
              <w:rPr>
                <w:rFonts w:ascii="Arial" w:hAnsi="Arial" w:cs="Arial"/>
                <w:sz w:val="18"/>
                <w:szCs w:val="20"/>
              </w:rPr>
            </w:pPr>
            <w:r w:rsidRPr="0026361C">
              <w:rPr>
                <w:rFonts w:ascii="Arial" w:hAnsi="Arial" w:cs="Arial"/>
                <w:sz w:val="18"/>
                <w:szCs w:val="20"/>
              </w:rPr>
              <w:t>=</w:t>
            </w:r>
          </w:p>
        </w:tc>
        <w:tc>
          <w:tcPr>
            <w:tcW w:w="4666" w:type="dxa"/>
            <w:gridSpan w:val="4"/>
            <w:tcBorders>
              <w:top w:val="single" w:sz="4" w:space="0" w:color="auto"/>
              <w:left w:val="single" w:sz="4" w:space="0" w:color="auto"/>
              <w:bottom w:val="single" w:sz="4" w:space="0" w:color="auto"/>
              <w:right w:val="single" w:sz="4" w:space="0" w:color="auto"/>
            </w:tcBorders>
            <w:vAlign w:val="center"/>
          </w:tcPr>
          <w:p w14:paraId="3752E493" w14:textId="05E84F36" w:rsidR="002C6B38" w:rsidRPr="005A5A3D" w:rsidRDefault="00000000" w:rsidP="005A5A3D">
            <w:pPr>
              <w:jc w:val="both"/>
              <w:rPr>
                <w:rFonts w:ascii="Arial" w:hAnsi="Arial" w:cs="Arial"/>
                <w:b/>
                <w:bCs/>
                <w:sz w:val="18"/>
                <w:szCs w:val="20"/>
              </w:rPr>
            </w:pPr>
            <m:oMath>
              <m:sSubSup>
                <m:sSubSupPr>
                  <m:ctrlPr>
                    <w:rPr>
                      <w:rFonts w:ascii="Cambria Math" w:hAnsi="Cambria Math"/>
                      <w:b/>
                      <w:bCs/>
                      <w:sz w:val="24"/>
                      <w:szCs w:val="24"/>
                      <w:lang w:val="en-US"/>
                    </w:rPr>
                  </m:ctrlPr>
                </m:sSubSupPr>
                <m:e>
                  <m:r>
                    <m:rPr>
                      <m:sty m:val="bi"/>
                    </m:rPr>
                    <w:rPr>
                      <w:rFonts w:ascii="Cambria Math" w:hAnsi="Cambria Math"/>
                      <w:sz w:val="24"/>
                      <w:szCs w:val="24"/>
                      <w:lang w:val="en-US"/>
                    </w:rPr>
                    <m:t>CTUPSE</m:t>
                  </m:r>
                </m:e>
                <m:sub>
                  <m:r>
                    <m:rPr>
                      <m:sty m:val="bi"/>
                    </m:rPr>
                    <w:rPr>
                      <w:rFonts w:ascii="Cambria Math" w:hAnsi="Cambria Math"/>
                      <w:sz w:val="24"/>
                      <w:szCs w:val="24"/>
                      <w:lang w:val="en-US"/>
                    </w:rPr>
                    <m:t>t</m:t>
                  </m:r>
                </m:sub>
                <m:sup>
                  <m:r>
                    <m:rPr>
                      <m:sty m:val="b"/>
                    </m:rPr>
                    <w:rPr>
                      <w:rFonts w:ascii="Cambria Math" w:hAnsi="Cambria Math"/>
                      <w:sz w:val="24"/>
                      <w:szCs w:val="24"/>
                      <w:lang w:val="en-US"/>
                    </w:rPr>
                    <m:t xml:space="preserve"> </m:t>
                  </m:r>
                </m:sup>
              </m:sSubSup>
            </m:oMath>
            <w:r w:rsidR="003E6352" w:rsidRPr="005A5A3D">
              <w:rPr>
                <w:rFonts w:ascii="Arial" w:eastAsiaTheme="minorEastAsia" w:hAnsi="Arial" w:cs="Arial"/>
                <w:b/>
                <w:bCs/>
                <w:sz w:val="24"/>
                <w:szCs w:val="24"/>
                <w:lang w:val="en-US"/>
              </w:rPr>
              <w:t xml:space="preserve">: </w:t>
            </w:r>
            <w:r w:rsidR="003E6352" w:rsidRPr="0026361C">
              <w:rPr>
                <w:rFonts w:ascii="Arial" w:hAnsi="Arial"/>
                <w:sz w:val="20"/>
                <w:szCs w:val="20"/>
              </w:rPr>
              <w:t xml:space="preserve">Cantidad de unidades productoras </w:t>
            </w:r>
            <w:r w:rsidR="003E6352" w:rsidRPr="0026361C">
              <w:rPr>
                <w:rFonts w:ascii="Arial" w:hAnsi="Arial" w:cs="Arial"/>
                <w:sz w:val="20"/>
              </w:rPr>
              <w:t xml:space="preserve">que implementan el </w:t>
            </w:r>
            <w:r w:rsidR="003E6352" w:rsidRPr="0026361C">
              <w:rPr>
                <w:rFonts w:ascii="Arial" w:hAnsi="Arial"/>
                <w:sz w:val="20"/>
                <w:szCs w:val="20"/>
              </w:rPr>
              <w:t>MSE Sobresaliente</w:t>
            </w:r>
            <w:r w:rsidR="003E6352">
              <w:rPr>
                <w:rFonts w:ascii="Arial" w:hAnsi="Arial" w:cs="Arial"/>
                <w:sz w:val="20"/>
              </w:rPr>
              <w:t xml:space="preserve"> </w:t>
            </w:r>
            <w:r w:rsidR="003E6352" w:rsidRPr="0026361C">
              <w:rPr>
                <w:rFonts w:ascii="Arial" w:hAnsi="Arial"/>
                <w:bCs/>
                <w:sz w:val="20"/>
                <w:szCs w:val="20"/>
                <w:lang w:val="es-MX"/>
              </w:rPr>
              <w:t xml:space="preserve">con capacidad instalada </w:t>
            </w:r>
            <w:r w:rsidR="009C7AF7">
              <w:rPr>
                <w:rFonts w:ascii="Arial" w:hAnsi="Arial"/>
                <w:bCs/>
                <w:sz w:val="20"/>
                <w:szCs w:val="20"/>
                <w:lang w:val="es-MX"/>
              </w:rPr>
              <w:t>existente</w:t>
            </w:r>
            <w:r w:rsidR="003E6352" w:rsidRPr="0026361C">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r w:rsidR="003E6352">
              <w:rPr>
                <w:rFonts w:ascii="Arial" w:hAnsi="Arial"/>
                <w:sz w:val="20"/>
                <w:szCs w:val="20"/>
              </w:rPr>
              <w:t xml:space="preserve"> </w:t>
            </w:r>
          </w:p>
        </w:tc>
        <w:tc>
          <w:tcPr>
            <w:tcW w:w="692" w:type="dxa"/>
            <w:tcBorders>
              <w:left w:val="single" w:sz="4" w:space="0" w:color="auto"/>
              <w:bottom w:val="single" w:sz="4" w:space="0" w:color="auto"/>
              <w:right w:val="single" w:sz="4" w:space="0" w:color="auto"/>
            </w:tcBorders>
            <w:vAlign w:val="center"/>
          </w:tcPr>
          <w:p w14:paraId="21ACDE04" w14:textId="77777777" w:rsidR="002C6B38" w:rsidRPr="0026361C" w:rsidRDefault="002C6B38" w:rsidP="002C6B38">
            <w:pPr>
              <w:rPr>
                <w:rFonts w:ascii="Arial" w:hAnsi="Arial" w:cs="Arial"/>
                <w:sz w:val="18"/>
                <w:szCs w:val="20"/>
              </w:rPr>
            </w:pPr>
          </w:p>
          <w:p w14:paraId="7FCDFD31" w14:textId="77777777" w:rsidR="00246044" w:rsidRPr="0026361C" w:rsidRDefault="00246044" w:rsidP="002C6B38">
            <w:pPr>
              <w:rPr>
                <w:rFonts w:ascii="Arial" w:hAnsi="Arial" w:cs="Arial"/>
                <w:sz w:val="18"/>
                <w:szCs w:val="20"/>
              </w:rPr>
            </w:pPr>
          </w:p>
          <w:p w14:paraId="191B0FC8" w14:textId="77777777" w:rsidR="00246044" w:rsidRPr="0026361C" w:rsidRDefault="00246044" w:rsidP="002C6B38">
            <w:pPr>
              <w:rPr>
                <w:rFonts w:ascii="Arial" w:hAnsi="Arial" w:cs="Arial"/>
                <w:sz w:val="18"/>
                <w:szCs w:val="20"/>
              </w:rPr>
            </w:pPr>
          </w:p>
        </w:tc>
      </w:tr>
      <w:tr w:rsidR="0026361C" w:rsidRPr="0026361C" w14:paraId="3EB2CE0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2CFA554" w14:textId="77777777" w:rsidR="0026361C" w:rsidRPr="0026361C" w:rsidRDefault="0026361C" w:rsidP="0026361C">
            <w:pPr>
              <w:spacing w:before="120" w:after="120"/>
              <w:jc w:val="both"/>
              <w:rPr>
                <w:rFonts w:ascii="Arial" w:hAnsi="Arial"/>
                <w:sz w:val="20"/>
                <w:szCs w:val="20"/>
              </w:rPr>
            </w:pPr>
            <w:r w:rsidRPr="0026361C">
              <w:rPr>
                <w:rFonts w:ascii="Arial" w:hAnsi="Arial"/>
                <w:sz w:val="20"/>
                <w:szCs w:val="20"/>
              </w:rPr>
              <w:t>Fórmula para el cálculo del indicador:</w:t>
            </w:r>
          </w:p>
          <w:p w14:paraId="23066973" w14:textId="60F894C9" w:rsidR="0026361C" w:rsidRPr="002D6B23" w:rsidRDefault="0026361C" w:rsidP="0026361C">
            <w:pPr>
              <w:jc w:val="both"/>
              <w:rPr>
                <w:rFonts w:ascii="Arial" w:hAnsi="Arial" w:cs="Arial"/>
                <w:sz w:val="20"/>
              </w:rPr>
            </w:pPr>
            <w:r w:rsidRPr="0026361C">
              <w:rPr>
                <w:rFonts w:ascii="Arial" w:hAnsi="Arial" w:cs="Arial"/>
                <w:sz w:val="20"/>
                <w:szCs w:val="20"/>
              </w:rPr>
              <w:t xml:space="preserve">Porcentaje </w:t>
            </w:r>
            <w:r w:rsidRPr="0026361C">
              <w:rPr>
                <w:rFonts w:ascii="Arial" w:hAnsi="Arial" w:cs="Arial"/>
                <w:sz w:val="20"/>
              </w:rPr>
              <w:t xml:space="preserve">de unidades productoras que implementan el </w:t>
            </w:r>
            <w:r w:rsidR="00BE3CC0" w:rsidRPr="005A5A3D">
              <w:rPr>
                <w:rFonts w:ascii="Arial" w:hAnsi="Arial" w:cs="Arial"/>
                <w:sz w:val="20"/>
              </w:rPr>
              <w:t>Modelo de servicio educativo para la atención de estudiantes con habilidades sobresalientes, y alto desempeño académico, artístico</w:t>
            </w:r>
            <w:r w:rsidR="007049F8">
              <w:rPr>
                <w:rFonts w:ascii="Arial" w:hAnsi="Arial" w:cs="Arial"/>
                <w:sz w:val="20"/>
              </w:rPr>
              <w:t xml:space="preserve"> </w:t>
            </w:r>
            <w:r w:rsidRPr="0026361C">
              <w:rPr>
                <w:rFonts w:ascii="Arial" w:hAnsi="Arial" w:cs="Arial"/>
                <w:sz w:val="20"/>
              </w:rPr>
              <w:t>con capacidad instalada inadecuada</w:t>
            </w:r>
            <w:r w:rsidRPr="002D6B23" w:rsidDel="00844DE4">
              <w:rPr>
                <w:rFonts w:ascii="Arial" w:hAnsi="Arial" w:cs="Arial"/>
                <w:sz w:val="20"/>
              </w:rPr>
              <w:t xml:space="preserve"> </w:t>
            </w:r>
            <w:r w:rsidRPr="002D6B23">
              <w:rPr>
                <w:rFonts w:ascii="Arial" w:hAnsi="Arial" w:cs="Arial"/>
                <w:sz w:val="20"/>
              </w:rPr>
              <w:t>(PUPMSESI).</w:t>
            </w:r>
          </w:p>
          <w:p w14:paraId="480823D7" w14:textId="77777777" w:rsidR="0026361C" w:rsidRPr="0026361C" w:rsidRDefault="0026361C" w:rsidP="0026361C">
            <w:pPr>
              <w:spacing w:before="120" w:after="120"/>
              <w:jc w:val="both"/>
              <w:rPr>
                <w:rFonts w:ascii="Arial" w:hAnsi="Arial"/>
                <w:sz w:val="20"/>
                <w:szCs w:val="20"/>
              </w:rPr>
            </w:pPr>
          </w:p>
          <w:p w14:paraId="7B53B862" w14:textId="3B70E04D" w:rsidR="0026361C" w:rsidRPr="0026361C" w:rsidRDefault="00000000" w:rsidP="0026361C">
            <w:pPr>
              <w:contextualSpacing/>
              <w:jc w:val="center"/>
              <w:rPr>
                <w:rFonts w:ascii="Arial" w:hAnsi="Arial"/>
                <w:sz w:val="20"/>
                <w:szCs w:val="20"/>
              </w:rPr>
            </w:pPr>
            <m:oMath>
              <m:sSub>
                <m:sSubPr>
                  <m:ctrlPr>
                    <w:rPr>
                      <w:rFonts w:ascii="Cambria Math" w:hAnsi="Cambria Math"/>
                      <w:b/>
                      <w:bCs/>
                    </w:rPr>
                  </m:ctrlPr>
                </m:sSubPr>
                <m:e>
                  <m:r>
                    <m:rPr>
                      <m:sty m:val="p"/>
                    </m:rPr>
                    <w:rPr>
                      <w:rFonts w:ascii="Cambria Math" w:hAnsi="Cambria Math" w:cs="Arial"/>
                      <w:lang w:val="en-US"/>
                    </w:rPr>
                    <m:t>PUPMSESI</m:t>
                  </m:r>
                </m:e>
                <m:sub>
                  <m:r>
                    <m:rPr>
                      <m:nor/>
                    </m:rPr>
                    <w:rPr>
                      <w:rFonts w:ascii="Arial" w:hAnsi="Arial"/>
                      <w:b/>
                      <w:bCs/>
                      <w:lang w:val="en-US"/>
                    </w:rPr>
                    <m:t>t</m:t>
                  </m:r>
                </m:sub>
              </m:sSub>
              <m:r>
                <m:rPr>
                  <m:sty m:val="p"/>
                </m:rPr>
                <w:rPr>
                  <w:rFonts w:ascii="Cambria Math" w:hAnsi="Cambria Math"/>
                  <w:lang w:val="en-US"/>
                </w:rPr>
                <m:t>=</m:t>
              </m:r>
              <m:d>
                <m:dPr>
                  <m:ctrlPr>
                    <w:rPr>
                      <w:rFonts w:ascii="Cambria Math" w:hAnsi="Cambria Math"/>
                      <w:lang w:val="en-US"/>
                    </w:rPr>
                  </m:ctrlPr>
                </m:dPr>
                <m:e>
                  <m:f>
                    <m:fPr>
                      <m:ctrlPr>
                        <w:rPr>
                          <w:rFonts w:ascii="Cambria Math" w:hAnsi="Cambria Math"/>
                        </w:rPr>
                      </m:ctrlPr>
                    </m:fPr>
                    <m:num>
                      <m:sSubSup>
                        <m:sSubSupPr>
                          <m:ctrlPr>
                            <w:rPr>
                              <w:rFonts w:ascii="Cambria Math" w:hAnsi="Cambria Math"/>
                            </w:rPr>
                          </m:ctrlPr>
                        </m:sSubSupPr>
                        <m:e>
                          <m:sSubSup>
                            <m:sSubSupPr>
                              <m:ctrlPr>
                                <w:rPr>
                                  <w:rFonts w:ascii="Cambria Math" w:hAnsi="Cambria Math"/>
                                </w:rPr>
                              </m:ctrlPr>
                            </m:sSubSupPr>
                            <m:e>
                              <m:r>
                                <m:rPr>
                                  <m:sty m:val="p"/>
                                </m:rPr>
                                <w:rPr>
                                  <w:rFonts w:ascii="Cambria Math" w:hAnsi="Cambria Math"/>
                                  <w:lang w:val="en-US"/>
                                </w:rPr>
                                <m:t>CUPSI</m:t>
                              </m:r>
                            </m:e>
                            <m:sub>
                              <m:r>
                                <m:rPr>
                                  <m:sty m:val="p"/>
                                </m:rPr>
                                <w:rPr>
                                  <w:rFonts w:ascii="Cambria Math" w:hAnsi="Cambria Math"/>
                                  <w:lang w:val="en-US"/>
                                </w:rPr>
                                <m:t>t</m:t>
                              </m:r>
                            </m:sub>
                            <m:sup>
                              <m:r>
                                <m:rPr>
                                  <m:sty m:val="p"/>
                                </m:rPr>
                                <w:rPr>
                                  <w:rFonts w:ascii="Cambria Math" w:hAnsi="Cambria Math"/>
                                  <w:lang w:val="en-US"/>
                                </w:rPr>
                                <m:t>PN</m:t>
                              </m:r>
                            </m:sup>
                          </m:sSubSup>
                          <m:r>
                            <m:rPr>
                              <m:sty m:val="p"/>
                            </m:rPr>
                            <w:rPr>
                              <w:rFonts w:ascii="Cambria Math" w:hAnsi="Cambria Math"/>
                              <w:lang w:val="en-US"/>
                            </w:rPr>
                            <m:t>+ CUPSI</m:t>
                          </m:r>
                        </m:e>
                        <m:sub>
                          <m:r>
                            <m:rPr>
                              <m:sty m:val="p"/>
                            </m:rPr>
                            <w:rPr>
                              <w:rFonts w:ascii="Cambria Math" w:hAnsi="Cambria Math"/>
                              <w:lang w:val="en-US"/>
                            </w:rPr>
                            <m:t>t</m:t>
                          </m:r>
                        </m:sub>
                        <m:sup>
                          <m:r>
                            <m:rPr>
                              <m:sty m:val="p"/>
                            </m:rPr>
                            <w:rPr>
                              <w:rFonts w:ascii="Cambria Math" w:hAnsi="Cambria Math"/>
                              <w:lang w:val="en-US"/>
                            </w:rPr>
                            <m:t>CE</m:t>
                          </m:r>
                        </m:sup>
                      </m:sSubSup>
                      <m:sSubSup>
                        <m:sSubSupPr>
                          <m:ctrlPr>
                            <w:rPr>
                              <w:rFonts w:ascii="Cambria Math" w:hAnsi="Cambria Math"/>
                              <w:i/>
                            </w:rPr>
                          </m:ctrlPr>
                        </m:sSubSupPr>
                        <m:e>
                          <m:r>
                            <w:rPr>
                              <w:rFonts w:ascii="Cambria Math" w:hAnsi="Cambria Math"/>
                              <w:lang w:val="en-US"/>
                            </w:rPr>
                            <m:t xml:space="preserve"> + </m:t>
                          </m:r>
                          <m:r>
                            <w:rPr>
                              <w:rFonts w:ascii="Cambria Math" w:hAnsi="Cambria Math"/>
                            </w:rPr>
                            <m:t>CUPSI</m:t>
                          </m:r>
                        </m:e>
                        <m:sub>
                          <m:r>
                            <w:rPr>
                              <w:rFonts w:ascii="Cambria Math" w:hAnsi="Cambria Math"/>
                            </w:rPr>
                            <m:t>t</m:t>
                          </m:r>
                        </m:sub>
                        <m:sup>
                          <m:r>
                            <w:rPr>
                              <w:rFonts w:ascii="Cambria Math" w:hAnsi="Cambria Math"/>
                            </w:rPr>
                            <m:t>I</m:t>
                          </m:r>
                        </m:sup>
                      </m:sSubSup>
                    </m:num>
                    <m:den>
                      <m:sSubSup>
                        <m:sSubSupPr>
                          <m:ctrlPr>
                            <w:rPr>
                              <w:rFonts w:ascii="Cambria Math" w:hAnsi="Cambria Math"/>
                            </w:rPr>
                          </m:ctrlPr>
                        </m:sSubSupPr>
                        <m:e>
                          <m:r>
                            <m:rPr>
                              <m:sty m:val="p"/>
                            </m:rPr>
                            <w:rPr>
                              <w:rFonts w:ascii="Cambria Math" w:hAnsi="Cambria Math"/>
                              <w:lang w:val="en-US"/>
                            </w:rPr>
                            <m:t>NS</m:t>
                          </m:r>
                        </m:e>
                        <m:sub>
                          <m:r>
                            <m:rPr>
                              <m:sty m:val="p"/>
                            </m:rPr>
                            <w:rPr>
                              <w:rFonts w:ascii="Cambria Math" w:hAnsi="Cambria Math"/>
                              <w:lang w:val="en-US"/>
                            </w:rPr>
                            <m:t>t</m:t>
                          </m:r>
                        </m:sub>
                        <m:sup>
                          <m:r>
                            <m:rPr>
                              <m:sty m:val="p"/>
                            </m:rPr>
                            <w:rPr>
                              <w:rFonts w:ascii="Cambria Math" w:hAnsi="Cambria Math"/>
                              <w:lang w:val="en-US"/>
                            </w:rPr>
                            <m:t>PN</m:t>
                          </m:r>
                        </m:sup>
                      </m:sSubSup>
                      <m:r>
                        <m:rPr>
                          <m:sty m:val="p"/>
                        </m:rPr>
                        <w:rPr>
                          <w:rFonts w:ascii="Cambria Math" w:hAnsi="Cambria Math"/>
                          <w:lang w:val="en-US"/>
                        </w:rPr>
                        <m:t>+</m:t>
                      </m:r>
                      <m:sSubSup>
                        <m:sSubSupPr>
                          <m:ctrlPr>
                            <w:rPr>
                              <w:rFonts w:ascii="Cambria Math" w:hAnsi="Cambria Math"/>
                            </w:rPr>
                          </m:ctrlPr>
                        </m:sSubSupPr>
                        <m:e>
                          <m:r>
                            <m:rPr>
                              <m:sty m:val="p"/>
                            </m:rPr>
                            <w:rPr>
                              <w:rFonts w:ascii="Cambria Math" w:hAnsi="Cambria Math"/>
                              <w:lang w:val="en-US"/>
                            </w:rPr>
                            <m:t>NS</m:t>
                          </m:r>
                        </m:e>
                        <m:sub>
                          <m:r>
                            <m:rPr>
                              <m:sty m:val="p"/>
                            </m:rPr>
                            <w:rPr>
                              <w:rFonts w:ascii="Cambria Math" w:hAnsi="Cambria Math"/>
                              <w:lang w:val="en-US"/>
                            </w:rPr>
                            <m:t>t</m:t>
                          </m:r>
                        </m:sub>
                        <m:sup>
                          <m:r>
                            <m:rPr>
                              <m:sty m:val="p"/>
                            </m:rPr>
                            <w:rPr>
                              <w:rFonts w:ascii="Cambria Math" w:hAnsi="Cambria Math"/>
                              <w:lang w:val="en-US"/>
                            </w:rPr>
                            <m:t>CE</m:t>
                          </m:r>
                        </m:sup>
                      </m:sSubSup>
                      <m:r>
                        <w:rPr>
                          <w:rFonts w:ascii="Cambria Math" w:hAnsi="Cambria Math"/>
                          <w:lang w:val="en-AU"/>
                        </w:rPr>
                        <m:t>+</m:t>
                      </m:r>
                      <m:sSubSup>
                        <m:sSubSupPr>
                          <m:ctrlPr>
                            <w:rPr>
                              <w:rFonts w:ascii="Cambria Math" w:hAnsi="Cambria Math"/>
                              <w:i/>
                            </w:rPr>
                          </m:ctrlPr>
                        </m:sSubSupPr>
                        <m:e>
                          <m:r>
                            <w:rPr>
                              <w:rFonts w:ascii="Cambria Math" w:hAnsi="Cambria Math"/>
                            </w:rPr>
                            <m:t>NS</m:t>
                          </m:r>
                        </m:e>
                        <m:sub>
                          <m:r>
                            <w:rPr>
                              <w:rFonts w:ascii="Cambria Math" w:hAnsi="Cambria Math"/>
                            </w:rPr>
                            <m:t>t</m:t>
                          </m:r>
                        </m:sub>
                        <m:sup>
                          <m:r>
                            <w:rPr>
                              <w:rFonts w:ascii="Cambria Math" w:hAnsi="Cambria Math"/>
                            </w:rPr>
                            <m:t>I</m:t>
                          </m:r>
                        </m:sup>
                      </m:sSubSup>
                    </m:den>
                  </m:f>
                </m:e>
              </m:d>
              <m:r>
                <m:rPr>
                  <m:sty m:val="p"/>
                </m:rPr>
                <w:rPr>
                  <w:rFonts w:ascii="Cambria Math" w:hAnsi="Cambria Math"/>
                  <w:lang w:val="en-US"/>
                </w:rPr>
                <m:t>100%=</m:t>
              </m:r>
              <m:d>
                <m:dPr>
                  <m:ctrlPr>
                    <w:rPr>
                      <w:rFonts w:ascii="Cambria Math" w:hAnsi="Cambria Math"/>
                      <w:lang w:val="en-US"/>
                    </w:rPr>
                  </m:ctrlPr>
                </m:dPr>
                <m:e>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CTUPSI</m:t>
                          </m:r>
                        </m:e>
                        <m:sub>
                          <m:r>
                            <w:rPr>
                              <w:rFonts w:ascii="Cambria Math" w:hAnsi="Cambria Math"/>
                              <w:lang w:val="en-US"/>
                            </w:rPr>
                            <m:t>t</m:t>
                          </m:r>
                        </m:sub>
                        <m:sup>
                          <m:r>
                            <m:rPr>
                              <m:sty m:val="p"/>
                            </m:rPr>
                            <w:rPr>
                              <w:rFonts w:ascii="Cambria Math" w:hAnsi="Cambria Math"/>
                              <w:lang w:val="en-US"/>
                            </w:rPr>
                            <m:t xml:space="preserve"> </m:t>
                          </m:r>
                        </m:sup>
                      </m:sSubSup>
                    </m:num>
                    <m:den>
                      <m:sSubSup>
                        <m:sSubSupPr>
                          <m:ctrlPr>
                            <w:rPr>
                              <w:rFonts w:ascii="Cambria Math" w:hAnsi="Cambria Math"/>
                              <w:lang w:val="en-US"/>
                            </w:rPr>
                          </m:ctrlPr>
                        </m:sSubSupPr>
                        <m:e>
                          <m:r>
                            <w:rPr>
                              <w:rFonts w:ascii="Cambria Math" w:hAnsi="Cambria Math"/>
                              <w:lang w:val="en-US"/>
                            </w:rPr>
                            <m:t>CTUPS</m:t>
                          </m:r>
                        </m:e>
                        <m:sub>
                          <m:r>
                            <w:rPr>
                              <w:rFonts w:ascii="Cambria Math" w:hAnsi="Cambria Math"/>
                              <w:lang w:val="en-US"/>
                            </w:rPr>
                            <m:t>t</m:t>
                          </m:r>
                        </m:sub>
                        <m:sup>
                          <m:r>
                            <m:rPr>
                              <m:sty m:val="p"/>
                            </m:rPr>
                            <w:rPr>
                              <w:rFonts w:ascii="Cambria Math" w:hAnsi="Cambria Math"/>
                              <w:lang w:val="en-US"/>
                            </w:rPr>
                            <m:t xml:space="preserve"> </m:t>
                          </m:r>
                        </m:sup>
                      </m:sSubSup>
                    </m:den>
                  </m:f>
                </m:e>
              </m:d>
              <m:r>
                <m:rPr>
                  <m:sty m:val="p"/>
                </m:rPr>
                <w:rPr>
                  <w:rFonts w:ascii="Cambria Math" w:hAnsi="Cambria Math"/>
                  <w:lang w:val="en-US"/>
                </w:rPr>
                <m:t>100%</m:t>
              </m:r>
              <m:r>
                <m:rPr>
                  <m:sty m:val="p"/>
                </m:rPr>
                <w:rPr>
                  <w:rFonts w:ascii="Cambria Math" w:hAnsi="Cambria Math"/>
                  <w:lang w:val="en-US"/>
                </w:rPr>
                <m:t xml:space="preserve">= </m:t>
              </m:r>
              <m:d>
                <m:dPr>
                  <m:ctrlPr>
                    <w:rPr>
                      <w:rFonts w:ascii="Cambria Math" w:hAnsi="Cambria Math"/>
                      <w:lang w:val="en-US"/>
                    </w:rPr>
                  </m:ctrlPr>
                </m:dPr>
                <m:e>
                  <m:r>
                    <w:rPr>
                      <w:rFonts w:ascii="Cambria Math" w:hAnsi="Cambria Math"/>
                      <w:lang w:val="en-US"/>
                    </w:rPr>
                    <m:t>1-</m:t>
                  </m:r>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CTUPPE</m:t>
                          </m:r>
                        </m:e>
                        <m:sub>
                          <m:r>
                            <w:rPr>
                              <w:rFonts w:ascii="Cambria Math" w:hAnsi="Cambria Math"/>
                              <w:lang w:val="en-US"/>
                            </w:rPr>
                            <m:t>t</m:t>
                          </m:r>
                        </m:sub>
                        <m:sup>
                          <m:r>
                            <m:rPr>
                              <m:sty m:val="p"/>
                            </m:rPr>
                            <w:rPr>
                              <w:rFonts w:ascii="Cambria Math" w:hAnsi="Cambria Math"/>
                              <w:lang w:val="en-US"/>
                            </w:rPr>
                            <m:t xml:space="preserve"> </m:t>
                          </m:r>
                        </m:sup>
                      </m:sSubSup>
                    </m:num>
                    <m:den>
                      <m:sSubSup>
                        <m:sSubSupPr>
                          <m:ctrlPr>
                            <w:rPr>
                              <w:rFonts w:ascii="Cambria Math" w:hAnsi="Cambria Math"/>
                              <w:lang w:val="en-US"/>
                            </w:rPr>
                          </m:ctrlPr>
                        </m:sSubSupPr>
                        <m:e>
                          <m:r>
                            <w:rPr>
                              <w:rFonts w:ascii="Cambria Math" w:hAnsi="Cambria Math"/>
                              <w:lang w:val="en-US"/>
                            </w:rPr>
                            <m:t>CTUPP</m:t>
                          </m:r>
                        </m:e>
                        <m:sub>
                          <m:r>
                            <w:rPr>
                              <w:rFonts w:ascii="Cambria Math" w:hAnsi="Cambria Math"/>
                              <w:lang w:val="en-US"/>
                            </w:rPr>
                            <m:t>t</m:t>
                          </m:r>
                        </m:sub>
                        <m:sup>
                          <m:r>
                            <m:rPr>
                              <m:sty m:val="p"/>
                            </m:rPr>
                            <w:rPr>
                              <w:rFonts w:ascii="Cambria Math" w:hAnsi="Cambria Math"/>
                              <w:lang w:val="en-US"/>
                            </w:rPr>
                            <m:t xml:space="preserve"> </m:t>
                          </m:r>
                        </m:sup>
                      </m:sSubSup>
                    </m:den>
                  </m:f>
                </m:e>
              </m:d>
              <m:r>
                <m:rPr>
                  <m:sty m:val="p"/>
                </m:rPr>
                <w:rPr>
                  <w:rFonts w:ascii="Cambria Math" w:hAnsi="Cambria Math"/>
                  <w:lang w:val="en-US"/>
                </w:rPr>
                <m:t>100%</m:t>
              </m:r>
            </m:oMath>
            <w:r w:rsidR="0026361C" w:rsidRPr="0026361C">
              <w:rPr>
                <w:rFonts w:ascii="Arial" w:hAnsi="Arial"/>
                <w:sz w:val="20"/>
                <w:szCs w:val="20"/>
                <w:lang w:val="en-US"/>
              </w:rPr>
              <w:t xml:space="preserve">…. </w:t>
            </w:r>
            <w:r w:rsidR="0026361C" w:rsidRPr="0026361C">
              <w:rPr>
                <w:rFonts w:ascii="Arial" w:hAnsi="Arial"/>
                <w:sz w:val="20"/>
                <w:szCs w:val="20"/>
              </w:rPr>
              <w:t>(1)</w:t>
            </w:r>
          </w:p>
          <w:p w14:paraId="55D57A2A" w14:textId="77777777" w:rsidR="0026361C" w:rsidRDefault="0026361C" w:rsidP="0026361C">
            <w:pPr>
              <w:contextualSpacing/>
              <w:jc w:val="center"/>
              <w:rPr>
                <w:rFonts w:ascii="Arial" w:hAnsi="Arial"/>
                <w:sz w:val="20"/>
                <w:szCs w:val="20"/>
              </w:rPr>
            </w:pPr>
          </w:p>
          <w:p w14:paraId="1A88170A" w14:textId="77777777" w:rsidR="009C7AF7" w:rsidRDefault="009C7AF7" w:rsidP="0026361C">
            <w:pPr>
              <w:contextualSpacing/>
              <w:jc w:val="center"/>
              <w:rPr>
                <w:rFonts w:ascii="Arial" w:hAnsi="Arial"/>
                <w:sz w:val="20"/>
                <w:szCs w:val="20"/>
              </w:rPr>
            </w:pPr>
          </w:p>
          <w:p w14:paraId="580A8E7C" w14:textId="7459B86B" w:rsidR="009C7AF7" w:rsidRPr="0026361C" w:rsidRDefault="009C7AF7" w:rsidP="009C7AF7">
            <w:pPr>
              <w:spacing w:before="120" w:after="120"/>
              <w:jc w:val="both"/>
              <w:rPr>
                <w:rFonts w:ascii="Arial" w:hAnsi="Arial"/>
                <w:sz w:val="20"/>
                <w:szCs w:val="20"/>
              </w:rPr>
            </w:pPr>
            <w:r w:rsidRPr="0026361C">
              <w:rPr>
                <w:rFonts w:ascii="Arial" w:hAnsi="Arial"/>
                <w:sz w:val="20"/>
                <w:szCs w:val="20"/>
              </w:rPr>
              <w:t>Fórmulas para calcular la cantidad de unidades productoras</w:t>
            </w:r>
            <w:r w:rsidR="00BE1052">
              <w:rPr>
                <w:rFonts w:ascii="Arial" w:hAnsi="Arial"/>
                <w:sz w:val="20"/>
                <w:szCs w:val="20"/>
              </w:rPr>
              <w:t xml:space="preserve"> según sus caracter</w:t>
            </w:r>
            <w:r w:rsidR="00911861">
              <w:rPr>
                <w:rFonts w:ascii="Arial" w:hAnsi="Arial"/>
                <w:sz w:val="20"/>
                <w:szCs w:val="20"/>
              </w:rPr>
              <w:t>í</w:t>
            </w:r>
            <w:r w:rsidR="00BE1052">
              <w:rPr>
                <w:rFonts w:ascii="Arial" w:hAnsi="Arial"/>
                <w:sz w:val="20"/>
                <w:szCs w:val="20"/>
              </w:rPr>
              <w:t>sticas</w:t>
            </w:r>
            <w:r w:rsidRPr="0026361C">
              <w:rPr>
                <w:rFonts w:ascii="Arial" w:hAnsi="Arial"/>
                <w:sz w:val="20"/>
                <w:szCs w:val="20"/>
              </w:rPr>
              <w:t xml:space="preserve">: </w:t>
            </w:r>
          </w:p>
          <w:p w14:paraId="28090AF5" w14:textId="77777777" w:rsidR="009C7AF7" w:rsidRPr="0026361C" w:rsidRDefault="00000000" w:rsidP="009C7AF7">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CUPSI</m:t>
                  </m:r>
                </m:e>
                <m:sub>
                  <m:r>
                    <w:rPr>
                      <w:rFonts w:ascii="Cambria Math" w:hAnsi="Cambria Math"/>
                      <w:sz w:val="24"/>
                      <w:szCs w:val="24"/>
                    </w:rPr>
                    <m:t>t</m:t>
                  </m:r>
                </m:sub>
                <m:sup>
                  <m:r>
                    <w:rPr>
                      <w:rFonts w:ascii="Cambria Math" w:hAnsi="Cambria Math"/>
                      <w:sz w:val="24"/>
                      <w:szCs w:val="24"/>
                    </w:rPr>
                    <m:t>PN</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NS</m:t>
                      </m:r>
                    </m:e>
                    <m:sub>
                      <m:r>
                        <w:rPr>
                          <w:rFonts w:ascii="Cambria Math" w:hAnsi="Cambria Math"/>
                          <w:sz w:val="24"/>
                          <w:szCs w:val="24"/>
                        </w:rPr>
                        <m:t>t</m:t>
                      </m:r>
                    </m:sub>
                    <m:sup>
                      <m:r>
                        <w:rPr>
                          <w:rFonts w:ascii="Cambria Math" w:hAnsi="Cambria Math"/>
                          <w:sz w:val="24"/>
                          <w:szCs w:val="24"/>
                        </w:rPr>
                        <m:t>PN</m:t>
                      </m:r>
                    </m:sup>
                  </m:sSubSup>
                </m:sup>
                <m:e>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PN</m:t>
                      </m:r>
                    </m:sup>
                  </m:sSubSup>
                </m:e>
              </m:nary>
              <m:r>
                <w:rPr>
                  <w:rFonts w:ascii="Cambria Math" w:hAnsi="Cambria Math"/>
                  <w:sz w:val="24"/>
                  <w:szCs w:val="24"/>
                </w:rPr>
                <m:t>)</m:t>
              </m:r>
            </m:oMath>
            <w:r w:rsidR="009C7AF7" w:rsidRPr="0026361C">
              <w:rPr>
                <w:rFonts w:ascii="Arial" w:hAnsi="Arial"/>
                <w:sz w:val="20"/>
                <w:szCs w:val="20"/>
              </w:rPr>
              <w:t>…… (2)</w:t>
            </w:r>
          </w:p>
          <w:p w14:paraId="7DF61FA8" w14:textId="77777777" w:rsidR="009C7AF7" w:rsidRPr="0026361C" w:rsidRDefault="009C7AF7" w:rsidP="009C7AF7">
            <w:pPr>
              <w:spacing w:before="120" w:after="120"/>
              <w:contextualSpacing/>
              <w:jc w:val="both"/>
              <w:rPr>
                <w:rFonts w:ascii="Arial" w:hAnsi="Arial"/>
                <w:sz w:val="20"/>
                <w:szCs w:val="20"/>
              </w:rPr>
            </w:pPr>
          </w:p>
          <w:p w14:paraId="66297B3F" w14:textId="77777777" w:rsidR="009C7AF7" w:rsidRPr="0026361C" w:rsidRDefault="00000000" w:rsidP="009C7AF7">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PN</m:t>
                  </m:r>
                </m:sup>
              </m:sSubSup>
              <m:r>
                <m:rPr>
                  <m:sty m:val="p"/>
                </m:rPr>
                <w:rPr>
                  <w:rFonts w:ascii="Cambria Math" w:eastAsiaTheme="minorEastAsia" w:hAnsi="Cambria Math"/>
                  <w:sz w:val="20"/>
                  <w:szCs w:val="20"/>
                </w:rPr>
                <m:t>:</m:t>
              </m:r>
            </m:oMath>
            <w:r w:rsidR="009C7AF7" w:rsidRPr="0026361C">
              <w:rPr>
                <w:rFonts w:ascii="Arial" w:hAnsi="Arial"/>
                <w:sz w:val="20"/>
                <w:szCs w:val="20"/>
              </w:rPr>
              <w:t xml:space="preserve"> Nivel de inadecuación de la unidad productora i en el tiempo t según la base de datos del Plan Nacional de Infraestructura Educativa, cuyo valor mínimo y máximo es 0 y 1 respectivamente.</w:t>
            </w:r>
          </w:p>
          <w:p w14:paraId="606A0C9B" w14:textId="77777777" w:rsidR="009C7AF7" w:rsidRPr="0026361C" w:rsidRDefault="009C7AF7" w:rsidP="009C7AF7">
            <w:pPr>
              <w:spacing w:before="120" w:after="120"/>
              <w:ind w:left="708"/>
              <w:contextualSpacing/>
              <w:jc w:val="both"/>
              <w:rPr>
                <w:rFonts w:ascii="Arial" w:hAnsi="Arial"/>
                <w:sz w:val="20"/>
                <w:szCs w:val="20"/>
              </w:rPr>
            </w:pPr>
          </w:p>
          <w:p w14:paraId="5F7285A7" w14:textId="77777777" w:rsidR="009C7AF7" w:rsidRPr="0026361C" w:rsidRDefault="00000000" w:rsidP="009C7AF7">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CUPSI</m:t>
                  </m:r>
                </m:e>
                <m:sub>
                  <m:r>
                    <w:rPr>
                      <w:rFonts w:ascii="Cambria Math" w:hAnsi="Cambria Math"/>
                      <w:sz w:val="24"/>
                      <w:szCs w:val="24"/>
                    </w:rPr>
                    <m:t>t</m:t>
                  </m:r>
                </m:sub>
                <m:sup>
                  <m:r>
                    <w:rPr>
                      <w:rFonts w:ascii="Cambria Math" w:hAnsi="Cambria Math"/>
                      <w:sz w:val="24"/>
                      <w:szCs w:val="24"/>
                    </w:rPr>
                    <m:t>CE</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NS</m:t>
                      </m:r>
                    </m:e>
                    <m:sub>
                      <m:r>
                        <w:rPr>
                          <w:rFonts w:ascii="Cambria Math" w:hAnsi="Cambria Math"/>
                          <w:sz w:val="24"/>
                          <w:szCs w:val="24"/>
                        </w:rPr>
                        <m:t>t</m:t>
                      </m:r>
                    </m:sub>
                    <m:sup>
                      <m:r>
                        <w:rPr>
                          <w:rFonts w:ascii="Cambria Math" w:hAnsi="Cambria Math"/>
                          <w:sz w:val="24"/>
                          <w:szCs w:val="24"/>
                        </w:rPr>
                        <m:t>CE</m:t>
                      </m:r>
                    </m:sup>
                  </m:sSubSup>
                </m:sup>
                <m:e>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CE</m:t>
                      </m:r>
                    </m:sup>
                  </m:sSubSup>
                </m:e>
              </m:nary>
              <m:r>
                <w:rPr>
                  <w:rFonts w:ascii="Cambria Math" w:hAnsi="Cambria Math"/>
                  <w:sz w:val="24"/>
                  <w:szCs w:val="24"/>
                </w:rPr>
                <m:t>)</m:t>
              </m:r>
            </m:oMath>
            <w:r w:rsidR="009C7AF7" w:rsidRPr="0026361C">
              <w:rPr>
                <w:rFonts w:ascii="Arial" w:hAnsi="Arial"/>
                <w:sz w:val="20"/>
                <w:szCs w:val="20"/>
              </w:rPr>
              <w:t>……… (3)</w:t>
            </w:r>
          </w:p>
          <w:p w14:paraId="477E2E5C" w14:textId="77777777" w:rsidR="009C7AF7" w:rsidRPr="0026361C" w:rsidRDefault="009C7AF7" w:rsidP="009C7AF7">
            <w:pPr>
              <w:spacing w:before="120" w:after="120"/>
              <w:contextualSpacing/>
              <w:jc w:val="both"/>
              <w:rPr>
                <w:rFonts w:ascii="Arial" w:eastAsiaTheme="minorEastAsia" w:hAnsi="Arial"/>
                <w:sz w:val="20"/>
                <w:szCs w:val="20"/>
              </w:rPr>
            </w:pPr>
          </w:p>
          <w:p w14:paraId="4EC55F54" w14:textId="77777777" w:rsidR="009C7AF7" w:rsidRPr="0026361C" w:rsidRDefault="00000000" w:rsidP="009C7AF7">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CE</m:t>
                  </m:r>
                </m:sup>
              </m:sSubSup>
              <m:r>
                <m:rPr>
                  <m:sty m:val="p"/>
                </m:rPr>
                <w:rPr>
                  <w:rFonts w:ascii="Cambria Math" w:eastAsiaTheme="minorEastAsia" w:hAnsi="Cambria Math"/>
                  <w:sz w:val="20"/>
                  <w:szCs w:val="20"/>
                </w:rPr>
                <m:t>:</m:t>
              </m:r>
            </m:oMath>
            <w:r w:rsidR="009C7AF7" w:rsidRPr="0026361C">
              <w:rPr>
                <w:rFonts w:ascii="Arial" w:hAnsi="Arial"/>
                <w:sz w:val="20"/>
                <w:szCs w:val="20"/>
              </w:rPr>
              <w:t xml:space="preserve"> Variable dicotómica que obtiene el valor de 1 cuando tiene al menos 1 ambiente de la unidad productora diferente al buen estado, según la base de datos del Censo Escolar en el tiempo t.</w:t>
            </w:r>
          </w:p>
          <w:p w14:paraId="04E7068A" w14:textId="77777777" w:rsidR="009C7AF7" w:rsidRPr="0026361C" w:rsidRDefault="009C7AF7" w:rsidP="009C7AF7">
            <w:pPr>
              <w:spacing w:before="120" w:after="120"/>
              <w:contextualSpacing/>
              <w:jc w:val="both"/>
              <w:rPr>
                <w:rFonts w:ascii="Arial" w:hAnsi="Arial"/>
                <w:sz w:val="20"/>
                <w:szCs w:val="20"/>
              </w:rPr>
            </w:pPr>
          </w:p>
          <w:p w14:paraId="2DF29AA0" w14:textId="77777777" w:rsidR="009C7AF7" w:rsidRPr="0026361C" w:rsidRDefault="00000000" w:rsidP="009C7AF7">
            <w:pPr>
              <w:spacing w:before="120" w:after="120"/>
              <w:contextualSpacing/>
              <w:jc w:val="center"/>
              <w:rPr>
                <w:rFonts w:ascii="Arial" w:hAnsi="Arial"/>
                <w:sz w:val="20"/>
                <w:szCs w:val="20"/>
              </w:rPr>
            </w:pPr>
            <m:oMath>
              <m:sSubSup>
                <m:sSubSupPr>
                  <m:ctrlPr>
                    <w:rPr>
                      <w:rFonts w:ascii="Cambria Math" w:hAnsi="Cambria Math"/>
                      <w:i/>
                      <w:sz w:val="24"/>
                      <w:szCs w:val="24"/>
                    </w:rPr>
                  </m:ctrlPr>
                </m:sSubSupPr>
                <m:e>
                  <m:r>
                    <w:rPr>
                      <w:rFonts w:ascii="Cambria Math" w:hAnsi="Cambria Math"/>
                      <w:sz w:val="24"/>
                      <w:szCs w:val="24"/>
                    </w:rPr>
                    <m:t>CUPSI</m:t>
                  </m:r>
                </m:e>
                <m:sub>
                  <m:r>
                    <w:rPr>
                      <w:rFonts w:ascii="Cambria Math" w:hAnsi="Cambria Math"/>
                      <w:sz w:val="24"/>
                      <w:szCs w:val="24"/>
                    </w:rPr>
                    <m:t>t</m:t>
                  </m:r>
                </m:sub>
                <m:sup>
                  <m:r>
                    <w:rPr>
                      <w:rFonts w:ascii="Cambria Math" w:hAnsi="Cambria Math"/>
                      <w:sz w:val="24"/>
                      <w:szCs w:val="24"/>
                    </w:rPr>
                    <m:t>I</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sSubSup>
                    <m:sSubSupPr>
                      <m:ctrlPr>
                        <w:rPr>
                          <w:rFonts w:ascii="Cambria Math" w:hAnsi="Cambria Math"/>
                          <w:i/>
                          <w:sz w:val="24"/>
                          <w:szCs w:val="24"/>
                        </w:rPr>
                      </m:ctrlPr>
                    </m:sSubSupPr>
                    <m:e>
                      <m:r>
                        <w:rPr>
                          <w:rFonts w:ascii="Cambria Math" w:hAnsi="Cambria Math"/>
                          <w:sz w:val="24"/>
                          <w:szCs w:val="24"/>
                        </w:rPr>
                        <m:t>NS</m:t>
                      </m:r>
                    </m:e>
                    <m:sub>
                      <m:r>
                        <w:rPr>
                          <w:rFonts w:ascii="Cambria Math" w:hAnsi="Cambria Math"/>
                          <w:sz w:val="24"/>
                          <w:szCs w:val="24"/>
                        </w:rPr>
                        <m:t>t</m:t>
                      </m:r>
                    </m:sub>
                    <m:sup>
                      <m:r>
                        <w:rPr>
                          <w:rFonts w:ascii="Cambria Math" w:hAnsi="Cambria Math"/>
                          <w:sz w:val="24"/>
                          <w:szCs w:val="24"/>
                        </w:rPr>
                        <m:t>I</m:t>
                      </m:r>
                    </m:sup>
                  </m:sSubSup>
                </m:sup>
                <m:e>
                  <m:sSubSup>
                    <m:sSubSupPr>
                      <m:ctrlPr>
                        <w:rPr>
                          <w:rFonts w:ascii="Cambria Math" w:hAnsi="Cambria Math"/>
                          <w:i/>
                          <w:sz w:val="24"/>
                          <w:szCs w:val="24"/>
                        </w:rPr>
                      </m:ctrlPr>
                    </m:sSubSupPr>
                    <m:e>
                      <m:r>
                        <w:rPr>
                          <w:rFonts w:ascii="Cambria Math" w:hAnsi="Cambria Math"/>
                          <w:sz w:val="24"/>
                          <w:szCs w:val="24"/>
                        </w:rPr>
                        <m:t>(LAI</m:t>
                      </m:r>
                    </m:e>
                    <m:sub>
                      <m:r>
                        <w:rPr>
                          <w:rFonts w:ascii="Cambria Math" w:hAnsi="Cambria Math"/>
                          <w:sz w:val="24"/>
                          <w:szCs w:val="24"/>
                        </w:rPr>
                        <m:t>it</m:t>
                      </m:r>
                    </m:sub>
                    <m:sup>
                      <m:r>
                        <w:rPr>
                          <w:rFonts w:ascii="Cambria Math" w:hAnsi="Cambria Math"/>
                          <w:sz w:val="24"/>
                          <w:szCs w:val="24"/>
                        </w:rPr>
                        <m:t>I</m:t>
                      </m:r>
                    </m:sup>
                  </m:sSubSup>
                </m:e>
              </m:nary>
              <m:r>
                <w:rPr>
                  <w:rFonts w:ascii="Cambria Math" w:hAnsi="Cambria Math"/>
                  <w:sz w:val="24"/>
                  <w:szCs w:val="24"/>
                </w:rPr>
                <m:t>)</m:t>
              </m:r>
            </m:oMath>
            <w:r w:rsidR="009C7AF7" w:rsidRPr="0026361C">
              <w:rPr>
                <w:rFonts w:ascii="Arial" w:hAnsi="Arial"/>
                <w:sz w:val="20"/>
                <w:szCs w:val="20"/>
              </w:rPr>
              <w:t>……… (4)</w:t>
            </w:r>
          </w:p>
          <w:p w14:paraId="4F22B255" w14:textId="77777777" w:rsidR="009C7AF7" w:rsidRPr="0026361C" w:rsidRDefault="009C7AF7" w:rsidP="009C7AF7">
            <w:pPr>
              <w:spacing w:before="120" w:after="120"/>
              <w:contextualSpacing/>
              <w:jc w:val="both"/>
              <w:rPr>
                <w:rFonts w:ascii="Arial" w:eastAsiaTheme="minorEastAsia" w:hAnsi="Arial"/>
                <w:sz w:val="20"/>
                <w:szCs w:val="20"/>
              </w:rPr>
            </w:pPr>
          </w:p>
          <w:p w14:paraId="0120484A" w14:textId="77777777" w:rsidR="009C7AF7" w:rsidRPr="0026361C" w:rsidRDefault="00000000" w:rsidP="009C7AF7">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LAI</m:t>
                  </m:r>
                </m:e>
                <m:sub>
                  <m:r>
                    <w:rPr>
                      <w:rFonts w:ascii="Cambria Math" w:hAnsi="Cambria Math"/>
                      <w:sz w:val="20"/>
                      <w:szCs w:val="20"/>
                    </w:rPr>
                    <m:t>it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9C7AF7" w:rsidRPr="0026361C">
              <w:rPr>
                <w:rFonts w:ascii="Arial" w:hAnsi="Arial"/>
                <w:sz w:val="20"/>
                <w:szCs w:val="20"/>
              </w:rPr>
              <w:t xml:space="preserve"> Vari</w:t>
            </w:r>
            <w:proofErr w:type="spellStart"/>
            <w:r w:rsidR="009C7AF7" w:rsidRPr="0026361C">
              <w:rPr>
                <w:rFonts w:ascii="Arial" w:hAnsi="Arial"/>
                <w:sz w:val="20"/>
                <w:szCs w:val="20"/>
              </w:rPr>
              <w:t>able</w:t>
            </w:r>
            <w:proofErr w:type="spellEnd"/>
            <w:r w:rsidR="009C7AF7" w:rsidRPr="0026361C">
              <w:rPr>
                <w:rFonts w:ascii="Arial" w:hAnsi="Arial"/>
                <w:sz w:val="20"/>
                <w:szCs w:val="20"/>
              </w:rPr>
              <w:t xml:space="preserve"> dicotómica que obtiene el valor de 1 cuando el estado de la capacidad instalada es inadecuado y 0 cuando el estado de la capacidad instalada es adecuado según la Base de Datos de Monitoreo del Estado de las Unidades Productoras en el Marco del Invierte.pe, en el tiempo t.</w:t>
            </w:r>
          </w:p>
          <w:p w14:paraId="019ADA1B" w14:textId="77777777" w:rsidR="009C7AF7" w:rsidRDefault="009C7AF7" w:rsidP="0026361C">
            <w:pPr>
              <w:contextualSpacing/>
              <w:jc w:val="center"/>
              <w:rPr>
                <w:rFonts w:ascii="Arial" w:hAnsi="Arial"/>
                <w:sz w:val="20"/>
                <w:szCs w:val="20"/>
              </w:rPr>
            </w:pPr>
          </w:p>
          <w:p w14:paraId="30230E1F" w14:textId="5E198AA9" w:rsidR="00BE1052" w:rsidRPr="00E35A37" w:rsidRDefault="00000000" w:rsidP="00BE1052">
            <w:pPr>
              <w:spacing w:before="120" w:after="120"/>
              <w:contextualSpacing/>
              <w:jc w:val="center"/>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4"/>
                  <w:szCs w:val="24"/>
                </w:rPr>
                <m:t>=</m:t>
              </m:r>
              <m:sSubSup>
                <m:sSubSupPr>
                  <m:ctrlPr>
                    <w:rPr>
                      <w:rFonts w:ascii="Cambria Math" w:hAnsi="Cambria Math"/>
                      <w:i/>
                      <w:sz w:val="20"/>
                      <w:szCs w:val="20"/>
                    </w:rPr>
                  </m:ctrlPr>
                </m:sSubSupPr>
                <m:e>
                  <m:r>
                    <w:rPr>
                      <w:rFonts w:ascii="Cambria Math" w:hAnsi="Cambria Math"/>
                      <w:sz w:val="20"/>
                      <w:szCs w:val="20"/>
                    </w:rPr>
                    <m:t>CTUPSA</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CTUPSN</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CTUPSI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CTUPSE</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CTUPSI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NS</m:t>
                  </m:r>
                </m:e>
                <m:sub>
                  <m:r>
                    <w:rPr>
                      <w:rFonts w:ascii="Cambria Math" w:hAnsi="Cambria Math"/>
                      <w:sz w:val="20"/>
                      <w:szCs w:val="20"/>
                    </w:rPr>
                    <m:t>t</m:t>
                  </m:r>
                </m:sub>
                <m:sup>
                  <m:r>
                    <w:rPr>
                      <w:rFonts w:ascii="Cambria Math" w:hAnsi="Cambria Math"/>
                      <w:sz w:val="20"/>
                      <w:szCs w:val="20"/>
                    </w:rPr>
                    <m:t>PN</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NS</m:t>
                  </m:r>
                </m:e>
                <m:sub>
                  <m:r>
                    <w:rPr>
                      <w:rFonts w:ascii="Cambria Math" w:hAnsi="Cambria Math"/>
                      <w:sz w:val="20"/>
                      <w:szCs w:val="20"/>
                    </w:rPr>
                    <m:t>t</m:t>
                  </m:r>
                </m:sub>
                <m:sup>
                  <m:r>
                    <w:rPr>
                      <w:rFonts w:ascii="Cambria Math" w:hAnsi="Cambria Math"/>
                      <w:sz w:val="20"/>
                      <w:szCs w:val="20"/>
                    </w:rPr>
                    <m:t>CE</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NS</m:t>
                  </m:r>
                </m:e>
                <m:sub>
                  <m:r>
                    <w:rPr>
                      <w:rFonts w:ascii="Cambria Math" w:hAnsi="Cambria Math"/>
                      <w:sz w:val="20"/>
                      <w:szCs w:val="20"/>
                    </w:rPr>
                    <m:t>t</m:t>
                  </m:r>
                </m:sub>
                <m:sup>
                  <m:r>
                    <w:rPr>
                      <w:rFonts w:ascii="Cambria Math" w:hAnsi="Cambria Math"/>
                      <w:sz w:val="20"/>
                      <w:szCs w:val="20"/>
                    </w:rPr>
                    <m:t>I</m:t>
                  </m:r>
                </m:sup>
              </m:sSubSup>
            </m:oMath>
            <w:r w:rsidR="00BE1052">
              <w:rPr>
                <w:rFonts w:ascii="Arial" w:eastAsiaTheme="minorEastAsia" w:hAnsi="Arial"/>
                <w:sz w:val="24"/>
                <w:szCs w:val="24"/>
              </w:rPr>
              <w:t xml:space="preserve">  </w:t>
            </w:r>
            <w:r w:rsidR="00BE1052" w:rsidRPr="00E35A37">
              <w:rPr>
                <w:rFonts w:ascii="Arial" w:hAnsi="Arial"/>
                <w:sz w:val="20"/>
                <w:szCs w:val="20"/>
              </w:rPr>
              <w:t>…… (</w:t>
            </w:r>
            <w:r w:rsidR="00BE1052">
              <w:rPr>
                <w:rFonts w:ascii="Arial" w:hAnsi="Arial"/>
                <w:sz w:val="20"/>
                <w:szCs w:val="20"/>
              </w:rPr>
              <w:t>5</w:t>
            </w:r>
            <w:r w:rsidR="00BE1052" w:rsidRPr="00E35A37">
              <w:rPr>
                <w:rFonts w:ascii="Arial" w:hAnsi="Arial"/>
                <w:sz w:val="20"/>
                <w:szCs w:val="20"/>
              </w:rPr>
              <w:t>)</w:t>
            </w:r>
          </w:p>
          <w:p w14:paraId="293941BF" w14:textId="77777777" w:rsidR="009C7AF7" w:rsidRDefault="009C7AF7" w:rsidP="0026361C">
            <w:pPr>
              <w:contextualSpacing/>
              <w:jc w:val="center"/>
              <w:rPr>
                <w:rFonts w:ascii="Arial" w:hAnsi="Arial"/>
                <w:sz w:val="20"/>
                <w:szCs w:val="20"/>
              </w:rPr>
            </w:pPr>
          </w:p>
          <w:p w14:paraId="3DF8CB43" w14:textId="77777777" w:rsidR="009C7AF7" w:rsidRDefault="009C7AF7" w:rsidP="0026361C">
            <w:pPr>
              <w:contextualSpacing/>
              <w:jc w:val="center"/>
              <w:rPr>
                <w:rFonts w:ascii="Arial" w:hAnsi="Arial"/>
                <w:sz w:val="20"/>
                <w:szCs w:val="20"/>
              </w:rPr>
            </w:pPr>
          </w:p>
          <w:p w14:paraId="24013705" w14:textId="74246D89" w:rsidR="009C7AF7" w:rsidRDefault="00BE1052" w:rsidP="005A5A3D">
            <w:pPr>
              <w:contextualSpacing/>
              <w:rPr>
                <w:rFonts w:ascii="Arial" w:hAnsi="Arial"/>
                <w:sz w:val="20"/>
                <w:szCs w:val="20"/>
              </w:rPr>
            </w:pPr>
            <w:r>
              <w:rPr>
                <w:rFonts w:ascii="Arial" w:hAnsi="Arial"/>
                <w:sz w:val="20"/>
                <w:szCs w:val="20"/>
              </w:rPr>
              <w:t xml:space="preserve">Donde: </w:t>
            </w:r>
          </w:p>
          <w:p w14:paraId="25FD127C" w14:textId="77777777" w:rsidR="009C7AF7" w:rsidRPr="0026361C" w:rsidRDefault="009C7AF7" w:rsidP="0026361C">
            <w:pPr>
              <w:contextualSpacing/>
              <w:jc w:val="center"/>
              <w:rPr>
                <w:rFonts w:ascii="Arial" w:hAnsi="Arial"/>
                <w:sz w:val="20"/>
                <w:szCs w:val="20"/>
              </w:rPr>
            </w:pPr>
          </w:p>
          <w:p w14:paraId="79BC931E" w14:textId="0A72CF35" w:rsidR="0026361C" w:rsidRPr="0026361C" w:rsidRDefault="00000000" w:rsidP="0026361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NS</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26361C" w:rsidRPr="0026361C">
              <w:rPr>
                <w:rFonts w:ascii="Arial" w:hAnsi="Arial"/>
                <w:sz w:val="20"/>
                <w:szCs w:val="20"/>
              </w:rPr>
              <w:t xml:space="preserve"> Cantidad total de unidades productoras </w:t>
            </w:r>
            <w:r w:rsidR="0026361C" w:rsidRPr="0026361C">
              <w:rPr>
                <w:rFonts w:ascii="Arial" w:hAnsi="Arial" w:cs="Arial"/>
                <w:sz w:val="20"/>
              </w:rPr>
              <w:t xml:space="preserve">que implementan el </w:t>
            </w:r>
            <w:r w:rsidR="007049F8" w:rsidRPr="0026361C">
              <w:rPr>
                <w:rFonts w:ascii="Arial" w:hAnsi="Arial"/>
                <w:sz w:val="20"/>
                <w:szCs w:val="20"/>
              </w:rPr>
              <w:t>MSE Sobresaliente</w:t>
            </w:r>
            <w:r w:rsidR="007049F8" w:rsidRPr="0026361C" w:rsidDel="007049F8">
              <w:rPr>
                <w:rFonts w:ascii="Arial" w:hAnsi="Arial" w:cs="Arial"/>
                <w:sz w:val="20"/>
              </w:rPr>
              <w:t xml:space="preserve"> </w:t>
            </w:r>
            <w:r w:rsidR="0026361C" w:rsidRPr="0026361C">
              <w:rPr>
                <w:rFonts w:ascii="Arial" w:hAnsi="Arial"/>
                <w:sz w:val="20"/>
                <w:szCs w:val="20"/>
              </w:rPr>
              <w:t>identificadas en la Base de Datos de Monitoreo del Estado de las Unidades Productoras en el Marco del Invierte.pe en el tiempo t.</w:t>
            </w:r>
          </w:p>
          <w:p w14:paraId="5264DB63" w14:textId="77777777" w:rsidR="0026361C" w:rsidRPr="0026361C" w:rsidRDefault="0026361C" w:rsidP="0026361C">
            <w:pPr>
              <w:contextualSpacing/>
              <w:jc w:val="both"/>
              <w:rPr>
                <w:rFonts w:ascii="Arial" w:hAnsi="Arial"/>
                <w:sz w:val="20"/>
                <w:szCs w:val="20"/>
              </w:rPr>
            </w:pPr>
          </w:p>
          <w:p w14:paraId="0241379D" w14:textId="32681A10" w:rsidR="0026361C" w:rsidRPr="0026361C" w:rsidRDefault="00000000" w:rsidP="0026361C">
            <w:pPr>
              <w:spacing w:before="120" w:after="120"/>
              <w:ind w:left="696"/>
              <w:contextualSpacing/>
              <w:jc w:val="both"/>
              <w:rPr>
                <w:rFonts w:ascii="Arial" w:hAnsi="Arial"/>
                <w:sz w:val="20"/>
                <w:szCs w:val="20"/>
              </w:rPr>
            </w:pPr>
            <m:oMath>
              <m:sSubSup>
                <m:sSubSupPr>
                  <m:ctrlPr>
                    <w:rPr>
                      <w:rFonts w:ascii="Cambria Math" w:hAnsi="Cambria Math"/>
                      <w:sz w:val="20"/>
                      <w:szCs w:val="20"/>
                    </w:rPr>
                  </m:ctrlPr>
                </m:sSubSupPr>
                <m:e>
                  <m:r>
                    <m:rPr>
                      <m:sty m:val="p"/>
                    </m:rPr>
                    <w:rPr>
                      <w:rFonts w:ascii="Cambria Math" w:hAnsi="Cambria Math"/>
                      <w:sz w:val="20"/>
                      <w:szCs w:val="20"/>
                    </w:rPr>
                    <m:t>NS</m:t>
                  </m:r>
                </m:e>
                <m:sub>
                  <m:r>
                    <m:rPr>
                      <m:sty m:val="p"/>
                    </m:rPr>
                    <w:rPr>
                      <w:rFonts w:ascii="Cambria Math" w:hAnsi="Cambria Math"/>
                      <w:sz w:val="20"/>
                      <w:szCs w:val="20"/>
                    </w:rPr>
                    <m:t>t</m:t>
                  </m:r>
                </m:sub>
                <m:sup>
                  <m:r>
                    <m:rPr>
                      <m:sty m:val="p"/>
                    </m:rPr>
                    <w:rPr>
                      <w:rFonts w:ascii="Cambria Math" w:hAnsi="Cambria Math"/>
                      <w:sz w:val="20"/>
                      <w:szCs w:val="20"/>
                    </w:rPr>
                    <m:t>PN</m:t>
                  </m:r>
                </m:sup>
              </m:sSubSup>
              <m:r>
                <m:rPr>
                  <m:sty m:val="p"/>
                </m:rPr>
                <w:rPr>
                  <w:rFonts w:ascii="Cambria Math" w:eastAsiaTheme="minorEastAsia" w:hAnsi="Cambria Math"/>
                  <w:sz w:val="20"/>
                  <w:szCs w:val="20"/>
                </w:rPr>
                <m:t>:</m:t>
              </m:r>
            </m:oMath>
            <w:r w:rsidR="0026361C" w:rsidRPr="0026361C">
              <w:rPr>
                <w:rFonts w:ascii="Arial" w:hAnsi="Arial"/>
                <w:sz w:val="20"/>
                <w:szCs w:val="20"/>
              </w:rPr>
              <w:t xml:space="preserve"> Cantidad total de unidades productoras </w:t>
            </w:r>
            <w:r w:rsidR="0026361C" w:rsidRPr="0026361C">
              <w:rPr>
                <w:rFonts w:ascii="Arial" w:hAnsi="Arial" w:cs="Arial"/>
                <w:sz w:val="20"/>
              </w:rPr>
              <w:t xml:space="preserve">que implementan el </w:t>
            </w:r>
            <w:r w:rsidR="007049F8" w:rsidRPr="0026361C">
              <w:rPr>
                <w:rFonts w:ascii="Arial" w:hAnsi="Arial"/>
                <w:sz w:val="20"/>
                <w:szCs w:val="20"/>
              </w:rPr>
              <w:t>MSE Sobresaliente</w:t>
            </w:r>
            <w:r w:rsidR="007049F8" w:rsidRPr="0026361C">
              <w:rPr>
                <w:rFonts w:ascii="Arial" w:hAnsi="Arial" w:cs="Arial"/>
                <w:sz w:val="20"/>
              </w:rPr>
              <w:t xml:space="preserve"> </w:t>
            </w:r>
            <w:r w:rsidR="0026361C" w:rsidRPr="0026361C">
              <w:rPr>
                <w:rFonts w:ascii="Arial" w:hAnsi="Arial"/>
                <w:bCs/>
                <w:sz w:val="20"/>
                <w:szCs w:val="20"/>
                <w:lang w:val="es-MX"/>
              </w:rPr>
              <w:t>identificadas en la Base de Datos del Plan Nacional de Infraestructura Educativa, pero no</w:t>
            </w:r>
            <w:r w:rsidR="0026361C" w:rsidRPr="0026361C">
              <w:rPr>
                <w:rFonts w:ascii="Arial" w:hAnsi="Arial"/>
                <w:sz w:val="20"/>
                <w:szCs w:val="20"/>
              </w:rPr>
              <w:t xml:space="preserve"> incluidas en la Base de Datos de Monitoreo del Estado de las Unidades Productoras en el Marco del Invierte.pe en el tiempo t.</w:t>
            </w:r>
          </w:p>
          <w:p w14:paraId="1AFF42ED" w14:textId="77777777" w:rsidR="0026361C" w:rsidRPr="0026361C" w:rsidRDefault="0026361C" w:rsidP="0026361C">
            <w:pPr>
              <w:spacing w:before="120" w:after="120"/>
              <w:ind w:left="696"/>
              <w:contextualSpacing/>
              <w:jc w:val="both"/>
              <w:rPr>
                <w:rFonts w:ascii="Arial" w:hAnsi="Arial"/>
                <w:sz w:val="20"/>
                <w:szCs w:val="20"/>
              </w:rPr>
            </w:pPr>
          </w:p>
          <w:p w14:paraId="4DB73D1D" w14:textId="2546B8CE" w:rsidR="0026361C" w:rsidRPr="0026361C" w:rsidRDefault="00000000" w:rsidP="0026361C">
            <w:pPr>
              <w:spacing w:before="120" w:after="120"/>
              <w:ind w:left="696"/>
              <w:contextualSpacing/>
              <w:jc w:val="both"/>
              <w:rPr>
                <w:rFonts w:ascii="Arial" w:hAnsi="Arial"/>
                <w:sz w:val="20"/>
                <w:szCs w:val="20"/>
              </w:rPr>
            </w:pPr>
            <m:oMath>
              <m:sSubSup>
                <m:sSubSupPr>
                  <m:ctrlPr>
                    <w:rPr>
                      <w:rFonts w:ascii="Cambria Math" w:hAnsi="Cambria Math"/>
                      <w:sz w:val="20"/>
                      <w:szCs w:val="20"/>
                    </w:rPr>
                  </m:ctrlPr>
                </m:sSubSupPr>
                <m:e>
                  <m:r>
                    <m:rPr>
                      <m:sty m:val="p"/>
                    </m:rPr>
                    <w:rPr>
                      <w:rFonts w:ascii="Cambria Math" w:hAnsi="Cambria Math"/>
                      <w:sz w:val="20"/>
                      <w:szCs w:val="20"/>
                    </w:rPr>
                    <m:t>NS</m:t>
                  </m:r>
                </m:e>
                <m:sub>
                  <m:r>
                    <m:rPr>
                      <m:sty m:val="p"/>
                    </m:rPr>
                    <w:rPr>
                      <w:rFonts w:ascii="Cambria Math" w:hAnsi="Cambria Math"/>
                      <w:sz w:val="20"/>
                      <w:szCs w:val="20"/>
                    </w:rPr>
                    <m:t>t</m:t>
                  </m:r>
                </m:sub>
                <m:sup>
                  <m:r>
                    <m:rPr>
                      <m:sty m:val="p"/>
                    </m:rPr>
                    <w:rPr>
                      <w:rFonts w:ascii="Cambria Math" w:hAnsi="Cambria Math"/>
                      <w:sz w:val="20"/>
                      <w:szCs w:val="20"/>
                    </w:rPr>
                    <m:t>CE</m:t>
                  </m:r>
                </m:sup>
              </m:sSubSup>
              <m:r>
                <m:rPr>
                  <m:sty m:val="p"/>
                </m:rPr>
                <w:rPr>
                  <w:rFonts w:ascii="Cambria Math" w:eastAsiaTheme="minorEastAsia" w:hAnsi="Cambria Math"/>
                  <w:sz w:val="20"/>
                  <w:szCs w:val="20"/>
                </w:rPr>
                <m:t>:</m:t>
              </m:r>
            </m:oMath>
            <w:r w:rsidR="0026361C" w:rsidRPr="0026361C">
              <w:rPr>
                <w:rFonts w:ascii="Arial" w:hAnsi="Arial"/>
                <w:sz w:val="20"/>
                <w:szCs w:val="20"/>
              </w:rPr>
              <w:t xml:space="preserve"> Cantidad total de unid</w:t>
            </w:r>
            <w:proofErr w:type="spellStart"/>
            <w:r w:rsidR="0026361C" w:rsidRPr="0026361C">
              <w:rPr>
                <w:rFonts w:ascii="Arial" w:hAnsi="Arial"/>
                <w:sz w:val="20"/>
                <w:szCs w:val="20"/>
              </w:rPr>
              <w:t>ades</w:t>
            </w:r>
            <w:proofErr w:type="spellEnd"/>
            <w:r w:rsidR="0026361C" w:rsidRPr="0026361C">
              <w:rPr>
                <w:rFonts w:ascii="Arial" w:hAnsi="Arial"/>
                <w:sz w:val="20"/>
                <w:szCs w:val="20"/>
              </w:rPr>
              <w:t xml:space="preserve"> productoras </w:t>
            </w:r>
            <w:r w:rsidR="0026361C" w:rsidRPr="0026361C">
              <w:rPr>
                <w:rFonts w:ascii="Arial" w:hAnsi="Arial" w:cs="Arial"/>
                <w:sz w:val="20"/>
              </w:rPr>
              <w:t xml:space="preserve">que implementan el </w:t>
            </w:r>
            <w:r w:rsidR="007049F8" w:rsidRPr="0026361C">
              <w:rPr>
                <w:rFonts w:ascii="Arial" w:hAnsi="Arial"/>
                <w:sz w:val="20"/>
                <w:szCs w:val="20"/>
              </w:rPr>
              <w:t>MSE Sobresaliente</w:t>
            </w:r>
            <w:r w:rsidR="002D6B23">
              <w:rPr>
                <w:rFonts w:ascii="Arial" w:hAnsi="Arial" w:cs="Arial"/>
                <w:sz w:val="20"/>
              </w:rPr>
              <w:t xml:space="preserve"> </w:t>
            </w:r>
            <w:r w:rsidR="0026361C" w:rsidRPr="0026361C">
              <w:rPr>
                <w:rFonts w:ascii="Arial" w:hAnsi="Arial"/>
                <w:bCs/>
                <w:sz w:val="20"/>
                <w:szCs w:val="20"/>
                <w:lang w:val="es-MX"/>
              </w:rPr>
              <w:t>identificadas en la Base de Datos del Censo Educativo, pero no</w:t>
            </w:r>
            <w:r w:rsidR="0026361C" w:rsidRPr="0026361C">
              <w:rPr>
                <w:rFonts w:ascii="Arial" w:hAnsi="Arial"/>
                <w:sz w:val="20"/>
                <w:szCs w:val="20"/>
              </w:rPr>
              <w:t xml:space="preserve"> incluidas en la Base de Datos del Plan Nacional de Infraestructura Educativa ni en la Base de Datos de Monitoreo del Estado de las Unidades Productoras en el Marco del Invierte.pe en el tiempo t.</w:t>
            </w:r>
          </w:p>
          <w:p w14:paraId="09B0692A" w14:textId="77777777" w:rsidR="0026361C" w:rsidRPr="0026361C" w:rsidRDefault="0026361C" w:rsidP="0026361C">
            <w:pPr>
              <w:spacing w:before="120" w:after="120"/>
              <w:ind w:left="696"/>
              <w:contextualSpacing/>
              <w:jc w:val="both"/>
              <w:rPr>
                <w:rFonts w:ascii="Arial" w:hAnsi="Arial"/>
                <w:sz w:val="20"/>
                <w:szCs w:val="20"/>
              </w:rPr>
            </w:pPr>
          </w:p>
          <w:p w14:paraId="4FBF2BC0" w14:textId="5CFBCA55" w:rsidR="0026361C" w:rsidRPr="0026361C" w:rsidRDefault="00000000" w:rsidP="0026361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CUPSI</m:t>
                  </m:r>
                </m:e>
                <m:sub>
                  <m:r>
                    <w:rPr>
                      <w:rFonts w:ascii="Cambria Math" w:hAnsi="Cambria Math"/>
                      <w:sz w:val="20"/>
                      <w:szCs w:val="20"/>
                    </w:rPr>
                    <m:t>t</m:t>
                  </m:r>
                </m:sub>
                <m:sup>
                  <m:r>
                    <w:rPr>
                      <w:rFonts w:ascii="Cambria Math" w:hAnsi="Cambria Math"/>
                      <w:sz w:val="20"/>
                      <w:szCs w:val="20"/>
                    </w:rPr>
                    <m:t>I</m:t>
                  </m:r>
                </m:sup>
              </m:sSubSup>
              <m:r>
                <m:rPr>
                  <m:sty m:val="p"/>
                </m:rPr>
                <w:rPr>
                  <w:rFonts w:ascii="Cambria Math" w:eastAsiaTheme="minorEastAsia" w:hAnsi="Cambria Math"/>
                  <w:sz w:val="20"/>
                  <w:szCs w:val="20"/>
                </w:rPr>
                <m:t>:</m:t>
              </m:r>
            </m:oMath>
            <w:r w:rsidR="0026361C" w:rsidRPr="0026361C">
              <w:rPr>
                <w:rFonts w:ascii="Arial" w:hAnsi="Arial"/>
                <w:sz w:val="20"/>
                <w:szCs w:val="20"/>
              </w:rPr>
              <w:t xml:space="preserve"> Cantidad de unidades productoras </w:t>
            </w:r>
            <w:r w:rsidR="0026361C" w:rsidRPr="0026361C">
              <w:rPr>
                <w:rFonts w:ascii="Arial" w:hAnsi="Arial" w:cs="Arial"/>
                <w:sz w:val="20"/>
              </w:rPr>
              <w:t xml:space="preserve">que implementan el </w:t>
            </w:r>
            <w:r w:rsidR="007049F8" w:rsidRPr="0026361C">
              <w:rPr>
                <w:rFonts w:ascii="Arial" w:hAnsi="Arial"/>
                <w:sz w:val="20"/>
                <w:szCs w:val="20"/>
              </w:rPr>
              <w:t xml:space="preserve">MSE </w:t>
            </w:r>
            <w:proofErr w:type="gramStart"/>
            <w:r w:rsidR="007049F8" w:rsidRPr="0026361C">
              <w:rPr>
                <w:rFonts w:ascii="Arial" w:hAnsi="Arial"/>
                <w:sz w:val="20"/>
                <w:szCs w:val="20"/>
              </w:rPr>
              <w:t>Sobresaliente</w:t>
            </w:r>
            <w:r w:rsidR="007049F8" w:rsidRPr="0026361C">
              <w:rPr>
                <w:rFonts w:ascii="Arial" w:hAnsi="Arial" w:cs="Arial"/>
                <w:sz w:val="20"/>
              </w:rPr>
              <w:t xml:space="preserve"> </w:t>
            </w:r>
            <w:r w:rsidR="007049F8">
              <w:rPr>
                <w:rFonts w:ascii="Arial" w:hAnsi="Arial" w:cs="Arial"/>
                <w:sz w:val="20"/>
              </w:rPr>
              <w:t xml:space="preserve"> </w:t>
            </w:r>
            <w:r w:rsidR="0026361C" w:rsidRPr="0026361C">
              <w:rPr>
                <w:rFonts w:ascii="Arial" w:hAnsi="Arial"/>
                <w:bCs/>
                <w:sz w:val="20"/>
                <w:szCs w:val="20"/>
                <w:lang w:val="es-MX"/>
              </w:rPr>
              <w:t>con</w:t>
            </w:r>
            <w:proofErr w:type="gramEnd"/>
            <w:r w:rsidR="0026361C" w:rsidRPr="0026361C">
              <w:rPr>
                <w:rFonts w:ascii="Arial" w:hAnsi="Arial"/>
                <w:bCs/>
                <w:sz w:val="20"/>
                <w:szCs w:val="20"/>
                <w:lang w:val="es-MX"/>
              </w:rPr>
              <w:t xml:space="preserve"> capacidad instalada inadecuada</w:t>
            </w:r>
            <w:r w:rsidR="0026361C" w:rsidRPr="0026361C">
              <w:rPr>
                <w:rFonts w:ascii="Arial" w:hAnsi="Arial"/>
                <w:sz w:val="20"/>
                <w:szCs w:val="20"/>
              </w:rPr>
              <w:t xml:space="preserve"> identificadas en la Base de Datos de Monitoreo del Estado de las Unidades Productoras en el Marco del Invierte.pe en el tiempo t.</w:t>
            </w:r>
          </w:p>
          <w:p w14:paraId="73FE4721" w14:textId="77777777" w:rsidR="0026361C" w:rsidRPr="0026361C" w:rsidRDefault="0026361C" w:rsidP="0026361C">
            <w:pPr>
              <w:spacing w:before="120" w:after="120"/>
              <w:ind w:left="696"/>
              <w:contextualSpacing/>
              <w:jc w:val="both"/>
              <w:rPr>
                <w:rFonts w:ascii="Arial" w:hAnsi="Arial"/>
                <w:sz w:val="20"/>
                <w:szCs w:val="20"/>
              </w:rPr>
            </w:pPr>
          </w:p>
          <w:p w14:paraId="7CFBA9C8" w14:textId="2F1D69A6" w:rsidR="0026361C" w:rsidRPr="0026361C" w:rsidRDefault="00000000" w:rsidP="0026361C">
            <w:pPr>
              <w:spacing w:before="120" w:after="120"/>
              <w:ind w:left="696"/>
              <w:contextualSpacing/>
              <w:jc w:val="both"/>
              <w:rPr>
                <w:rFonts w:ascii="Arial" w:hAnsi="Arial"/>
                <w:sz w:val="20"/>
                <w:szCs w:val="20"/>
              </w:rPr>
            </w:pPr>
            <m:oMath>
              <m:sSubSup>
                <m:sSubSupPr>
                  <m:ctrlPr>
                    <w:rPr>
                      <w:rFonts w:ascii="Cambria Math" w:hAnsi="Cambria Math"/>
                      <w:sz w:val="20"/>
                      <w:szCs w:val="20"/>
                    </w:rPr>
                  </m:ctrlPr>
                </m:sSubSupPr>
                <m:e>
                  <m:r>
                    <m:rPr>
                      <m:sty m:val="p"/>
                    </m:rPr>
                    <w:rPr>
                      <w:rFonts w:ascii="Cambria Math" w:hAnsi="Cambria Math"/>
                      <w:sz w:val="20"/>
                      <w:szCs w:val="20"/>
                    </w:rPr>
                    <m:t>CUPSI</m:t>
                  </m:r>
                </m:e>
                <m:sub>
                  <m:r>
                    <m:rPr>
                      <m:sty m:val="p"/>
                    </m:rPr>
                    <w:rPr>
                      <w:rFonts w:ascii="Cambria Math" w:hAnsi="Cambria Math"/>
                      <w:sz w:val="20"/>
                      <w:szCs w:val="20"/>
                    </w:rPr>
                    <m:t>t</m:t>
                  </m:r>
                </m:sub>
                <m:sup>
                  <m:r>
                    <m:rPr>
                      <m:sty m:val="p"/>
                    </m:rPr>
                    <w:rPr>
                      <w:rFonts w:ascii="Cambria Math" w:hAnsi="Cambria Math"/>
                      <w:sz w:val="20"/>
                      <w:szCs w:val="20"/>
                    </w:rPr>
                    <m:t>PN</m:t>
                  </m:r>
                </m:sup>
              </m:sSubSup>
              <m:r>
                <m:rPr>
                  <m:sty m:val="p"/>
                </m:rPr>
                <w:rPr>
                  <w:rFonts w:ascii="Cambria Math" w:eastAsiaTheme="minorEastAsia" w:hAnsi="Cambria Math"/>
                  <w:sz w:val="20"/>
                  <w:szCs w:val="20"/>
                </w:rPr>
                <m:t>:</m:t>
              </m:r>
            </m:oMath>
            <w:r w:rsidR="0026361C" w:rsidRPr="0026361C">
              <w:rPr>
                <w:rFonts w:ascii="Arial" w:hAnsi="Arial"/>
                <w:sz w:val="20"/>
                <w:szCs w:val="20"/>
              </w:rPr>
              <w:t xml:space="preserve"> Cantidad de unidades productoras </w:t>
            </w:r>
            <w:r w:rsidR="0026361C" w:rsidRPr="0026361C">
              <w:rPr>
                <w:rFonts w:ascii="Arial" w:hAnsi="Arial" w:cs="Arial"/>
                <w:sz w:val="20"/>
              </w:rPr>
              <w:t xml:space="preserve">que implementan el </w:t>
            </w:r>
            <w:r w:rsidR="007049F8" w:rsidRPr="0026361C">
              <w:rPr>
                <w:rFonts w:ascii="Arial" w:hAnsi="Arial"/>
                <w:sz w:val="20"/>
                <w:szCs w:val="20"/>
              </w:rPr>
              <w:t>MSE Sobresaliente</w:t>
            </w:r>
            <w:r w:rsidR="007049F8" w:rsidRPr="0026361C">
              <w:rPr>
                <w:rFonts w:ascii="Arial" w:hAnsi="Arial" w:cs="Arial"/>
                <w:sz w:val="20"/>
              </w:rPr>
              <w:t xml:space="preserve"> </w:t>
            </w:r>
            <w:r w:rsidR="0026361C" w:rsidRPr="0026361C">
              <w:rPr>
                <w:rFonts w:ascii="Arial" w:hAnsi="Arial"/>
                <w:bCs/>
                <w:sz w:val="20"/>
                <w:szCs w:val="20"/>
                <w:lang w:val="es-MX"/>
              </w:rPr>
              <w:t>con capacidad instalada inadecuada identificadas en la Base de</w:t>
            </w:r>
            <w:r w:rsidR="0026361C" w:rsidRPr="0026361C">
              <w:rPr>
                <w:rFonts w:ascii="Arial" w:hAnsi="Arial"/>
                <w:sz w:val="20"/>
                <w:szCs w:val="20"/>
              </w:rPr>
              <w:t xml:space="preserve"> Monitoreo del Plan Nacional de Infraestructura Educativa, pero no incluidas en la Base de Datos de Monitoreo del Estado de las unidades productoras en el marco del Invierte.pe en el tiempo t.</w:t>
            </w:r>
          </w:p>
          <w:p w14:paraId="5DAD53F7" w14:textId="77777777" w:rsidR="0026361C" w:rsidRPr="0026361C" w:rsidRDefault="0026361C" w:rsidP="0026361C">
            <w:pPr>
              <w:spacing w:before="120" w:after="120"/>
              <w:ind w:left="696"/>
              <w:contextualSpacing/>
              <w:jc w:val="both"/>
              <w:rPr>
                <w:rFonts w:ascii="Arial" w:hAnsi="Arial"/>
                <w:sz w:val="20"/>
                <w:szCs w:val="20"/>
              </w:rPr>
            </w:pPr>
          </w:p>
          <w:p w14:paraId="5D7B23BD" w14:textId="00D809C7" w:rsidR="0026361C" w:rsidRPr="0026361C" w:rsidRDefault="00000000" w:rsidP="0026361C">
            <w:pPr>
              <w:spacing w:before="120" w:after="120"/>
              <w:ind w:left="696"/>
              <w:contextualSpacing/>
              <w:jc w:val="both"/>
              <w:rPr>
                <w:rFonts w:ascii="Arial" w:hAnsi="Arial"/>
                <w:sz w:val="20"/>
                <w:szCs w:val="20"/>
              </w:rPr>
            </w:pPr>
            <m:oMath>
              <m:sSubSup>
                <m:sSubSupPr>
                  <m:ctrlPr>
                    <w:rPr>
                      <w:rFonts w:ascii="Cambria Math" w:hAnsi="Cambria Math"/>
                      <w:sz w:val="20"/>
                      <w:szCs w:val="20"/>
                    </w:rPr>
                  </m:ctrlPr>
                </m:sSubSupPr>
                <m:e>
                  <m:r>
                    <m:rPr>
                      <m:sty m:val="p"/>
                    </m:rPr>
                    <w:rPr>
                      <w:rFonts w:ascii="Cambria Math" w:hAnsi="Cambria Math"/>
                      <w:sz w:val="20"/>
                      <w:szCs w:val="20"/>
                    </w:rPr>
                    <m:t>CUPSI</m:t>
                  </m:r>
                </m:e>
                <m:sub>
                  <m:r>
                    <m:rPr>
                      <m:sty m:val="p"/>
                    </m:rPr>
                    <w:rPr>
                      <w:rFonts w:ascii="Cambria Math" w:hAnsi="Cambria Math"/>
                      <w:sz w:val="20"/>
                      <w:szCs w:val="20"/>
                    </w:rPr>
                    <m:t>t</m:t>
                  </m:r>
                </m:sub>
                <m:sup>
                  <m:r>
                    <m:rPr>
                      <m:sty m:val="p"/>
                    </m:rPr>
                    <w:rPr>
                      <w:rFonts w:ascii="Cambria Math" w:hAnsi="Cambria Math"/>
                      <w:sz w:val="20"/>
                      <w:szCs w:val="20"/>
                    </w:rPr>
                    <m:t>CE</m:t>
                  </m:r>
                </m:sup>
              </m:sSubSup>
              <m:r>
                <m:rPr>
                  <m:sty m:val="p"/>
                </m:rPr>
                <w:rPr>
                  <w:rFonts w:ascii="Cambria Math" w:eastAsiaTheme="minorEastAsia" w:hAnsi="Cambria Math"/>
                  <w:sz w:val="20"/>
                  <w:szCs w:val="20"/>
                </w:rPr>
                <m:t>:</m:t>
              </m:r>
            </m:oMath>
            <w:r w:rsidR="0026361C" w:rsidRPr="0026361C">
              <w:rPr>
                <w:rFonts w:ascii="Arial" w:hAnsi="Arial"/>
                <w:sz w:val="20"/>
                <w:szCs w:val="20"/>
              </w:rPr>
              <w:t xml:space="preserve"> Cantidad de unidades productoras </w:t>
            </w:r>
            <w:r w:rsidR="0026361C" w:rsidRPr="0026361C">
              <w:rPr>
                <w:rFonts w:ascii="Arial" w:hAnsi="Arial" w:cs="Arial"/>
                <w:sz w:val="20"/>
              </w:rPr>
              <w:t xml:space="preserve">que implementan el </w:t>
            </w:r>
            <w:r w:rsidR="007049F8" w:rsidRPr="0026361C">
              <w:rPr>
                <w:rFonts w:ascii="Arial" w:hAnsi="Arial"/>
                <w:sz w:val="20"/>
                <w:szCs w:val="20"/>
              </w:rPr>
              <w:t xml:space="preserve">MSE </w:t>
            </w:r>
            <w:proofErr w:type="gramStart"/>
            <w:r w:rsidR="007049F8" w:rsidRPr="0026361C">
              <w:rPr>
                <w:rFonts w:ascii="Arial" w:hAnsi="Arial"/>
                <w:sz w:val="20"/>
                <w:szCs w:val="20"/>
              </w:rPr>
              <w:t>Sobresaliente</w:t>
            </w:r>
            <w:r w:rsidR="002D6B23" w:rsidRPr="0026361C">
              <w:rPr>
                <w:rFonts w:ascii="Arial" w:hAnsi="Arial" w:cs="Arial"/>
                <w:sz w:val="20"/>
              </w:rPr>
              <w:t xml:space="preserve"> </w:t>
            </w:r>
            <w:r w:rsidR="002D6B23">
              <w:rPr>
                <w:rFonts w:ascii="Arial" w:hAnsi="Arial" w:cs="Arial"/>
                <w:sz w:val="20"/>
              </w:rPr>
              <w:t xml:space="preserve"> </w:t>
            </w:r>
            <w:r w:rsidR="0026361C" w:rsidRPr="0026361C">
              <w:rPr>
                <w:rFonts w:ascii="Arial" w:hAnsi="Arial"/>
                <w:bCs/>
                <w:sz w:val="20"/>
                <w:szCs w:val="20"/>
                <w:lang w:val="es-MX"/>
              </w:rPr>
              <w:t>con</w:t>
            </w:r>
            <w:proofErr w:type="gramEnd"/>
            <w:r w:rsidR="0026361C" w:rsidRPr="0026361C">
              <w:rPr>
                <w:rFonts w:ascii="Arial" w:hAnsi="Arial"/>
                <w:bCs/>
                <w:sz w:val="20"/>
                <w:szCs w:val="20"/>
                <w:lang w:val="es-MX"/>
              </w:rPr>
              <w:t xml:space="preserve"> capacidad instalada inadecuada identificadas en la Base de Datos del Censo Educativo, pero no incluidas en la Base de Datos de Monitoreo del </w:t>
            </w:r>
            <w:r w:rsidR="0026361C" w:rsidRPr="0026361C">
              <w:rPr>
                <w:rFonts w:ascii="Arial" w:hAnsi="Arial"/>
                <w:sz w:val="20"/>
                <w:szCs w:val="20"/>
              </w:rPr>
              <w:t xml:space="preserve">Plan Nacional de Infraestructura Educativa ni en la Base de Datos de Monitoreo del Estado de las Unidades Productoras en el Marco del Invierte.pe, en el tiempo t. </w:t>
            </w:r>
          </w:p>
          <w:p w14:paraId="5816F0E9" w14:textId="77777777" w:rsidR="0026361C" w:rsidRPr="0026361C" w:rsidRDefault="0026361C" w:rsidP="0026361C">
            <w:pPr>
              <w:spacing w:before="120" w:after="120"/>
              <w:ind w:left="696"/>
              <w:contextualSpacing/>
              <w:jc w:val="both"/>
              <w:rPr>
                <w:rFonts w:ascii="Arial" w:hAnsi="Arial"/>
                <w:sz w:val="20"/>
                <w:szCs w:val="20"/>
              </w:rPr>
            </w:pPr>
          </w:p>
          <w:p w14:paraId="03250007" w14:textId="628F8B17" w:rsidR="0026361C" w:rsidRPr="0026361C" w:rsidRDefault="00000000" w:rsidP="0026361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CTUPSI</m:t>
                  </m:r>
                </m:e>
                <m:sub>
                  <m:r>
                    <w:rPr>
                      <w:rFonts w:ascii="Cambria Math" w:hAnsi="Cambria Math"/>
                      <w:sz w:val="20"/>
                      <w:szCs w:val="20"/>
                    </w:rPr>
                    <m:t>t</m:t>
                  </m:r>
                </m:sub>
                <m:sup>
                  <m:r>
                    <w:rPr>
                      <w:rFonts w:ascii="Cambria Math" w:hAnsi="Cambria Math"/>
                      <w:sz w:val="20"/>
                      <w:szCs w:val="20"/>
                    </w:rPr>
                    <m:t xml:space="preserve"> </m:t>
                  </m:r>
                </m:sup>
              </m:sSubSup>
              <m:r>
                <w:rPr>
                  <w:rFonts w:ascii="Cambria Math" w:hAnsi="Cambria Math"/>
                  <w:sz w:val="20"/>
                  <w:szCs w:val="20"/>
                </w:rPr>
                <m:t>:</m:t>
              </m:r>
            </m:oMath>
            <w:r w:rsidR="0026361C" w:rsidRPr="0026361C">
              <w:rPr>
                <w:rFonts w:ascii="Arial" w:hAnsi="Arial"/>
                <w:sz w:val="20"/>
                <w:szCs w:val="20"/>
              </w:rPr>
              <w:t xml:space="preserve"> Cantidad de unidades productoras </w:t>
            </w:r>
            <w:r w:rsidR="0026361C" w:rsidRPr="0026361C">
              <w:rPr>
                <w:rFonts w:ascii="Arial" w:hAnsi="Arial" w:cs="Arial"/>
                <w:sz w:val="20"/>
              </w:rPr>
              <w:t xml:space="preserve">que implementan el </w:t>
            </w:r>
            <w:r w:rsidR="007049F8" w:rsidRPr="0026361C">
              <w:rPr>
                <w:rFonts w:ascii="Arial" w:hAnsi="Arial"/>
                <w:sz w:val="20"/>
                <w:szCs w:val="20"/>
              </w:rPr>
              <w:t>MSE Sobresaliente</w:t>
            </w:r>
            <w:r w:rsidR="002D6B23">
              <w:rPr>
                <w:rFonts w:ascii="Arial" w:hAnsi="Arial" w:cs="Arial"/>
                <w:sz w:val="20"/>
              </w:rPr>
              <w:t xml:space="preserve"> </w:t>
            </w:r>
            <w:r w:rsidR="0026361C" w:rsidRPr="0026361C">
              <w:rPr>
                <w:rFonts w:ascii="Arial" w:hAnsi="Arial"/>
                <w:bCs/>
                <w:sz w:val="20"/>
                <w:szCs w:val="20"/>
                <w:lang w:val="es-MX"/>
              </w:rPr>
              <w:t>con capacidad instalada inadecuada</w:t>
            </w:r>
            <w:r w:rsidR="0026361C" w:rsidRPr="0026361C">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3D7EB6CE" w14:textId="77777777" w:rsidR="0026361C" w:rsidRPr="0026361C" w:rsidRDefault="0026361C" w:rsidP="0026361C">
            <w:pPr>
              <w:spacing w:before="120" w:after="120"/>
              <w:ind w:left="708"/>
              <w:contextualSpacing/>
              <w:jc w:val="both"/>
              <w:rPr>
                <w:rFonts w:ascii="Arial" w:hAnsi="Arial"/>
                <w:sz w:val="20"/>
                <w:szCs w:val="20"/>
              </w:rPr>
            </w:pPr>
          </w:p>
          <w:p w14:paraId="4137C166" w14:textId="66AB9BED" w:rsidR="0026361C" w:rsidRDefault="00000000" w:rsidP="0026361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m:t>
                  </m:r>
                </m:e>
                <m:sub>
                  <m:r>
                    <w:rPr>
                      <w:rFonts w:ascii="Cambria Math" w:hAnsi="Cambria Math"/>
                      <w:sz w:val="20"/>
                      <w:szCs w:val="20"/>
                    </w:rPr>
                    <m:t>t</m:t>
                  </m:r>
                </m:sub>
                <m:sup>
                  <m:r>
                    <w:rPr>
                      <w:rFonts w:ascii="Cambria Math" w:hAnsi="Cambria Math"/>
                      <w:sz w:val="20"/>
                      <w:szCs w:val="20"/>
                    </w:rPr>
                    <m:t xml:space="preserve"> </m:t>
                  </m:r>
                </m:sup>
              </m:sSubSup>
              <m:r>
                <m:rPr>
                  <m:sty m:val="p"/>
                </m:rPr>
                <w:rPr>
                  <w:rFonts w:ascii="Cambria Math" w:eastAsia="Times New Roman" w:hAnsi="Cambria Math"/>
                  <w:sz w:val="20"/>
                  <w:szCs w:val="20"/>
                </w:rPr>
                <m:t>:</m:t>
              </m:r>
            </m:oMath>
            <w:r w:rsidR="0026361C" w:rsidRPr="0026361C">
              <w:rPr>
                <w:rFonts w:ascii="Arial" w:hAnsi="Arial"/>
                <w:sz w:val="20"/>
                <w:szCs w:val="20"/>
              </w:rPr>
              <w:t xml:space="preserve"> Cantidad total de unidades productoras </w:t>
            </w:r>
            <w:r w:rsidR="0026361C" w:rsidRPr="0026361C">
              <w:rPr>
                <w:rFonts w:ascii="Arial" w:hAnsi="Arial" w:cs="Arial"/>
                <w:sz w:val="20"/>
              </w:rPr>
              <w:t xml:space="preserve">que implementan el </w:t>
            </w:r>
            <w:r w:rsidR="007049F8" w:rsidRPr="0026361C">
              <w:rPr>
                <w:rFonts w:ascii="Arial" w:hAnsi="Arial"/>
                <w:sz w:val="20"/>
                <w:szCs w:val="20"/>
              </w:rPr>
              <w:t>MSE Sobresaliente</w:t>
            </w:r>
            <w:r w:rsidR="007049F8" w:rsidRPr="0026361C">
              <w:rPr>
                <w:rFonts w:ascii="Arial" w:hAnsi="Arial" w:cs="Arial"/>
                <w:sz w:val="20"/>
              </w:rPr>
              <w:t xml:space="preserve"> </w:t>
            </w:r>
            <w:r w:rsidR="0026361C" w:rsidRPr="0026361C">
              <w:rPr>
                <w:rFonts w:ascii="Arial" w:hAnsi="Arial"/>
                <w:sz w:val="20"/>
                <w:szCs w:val="20"/>
              </w:rPr>
              <w:t>identificadas en la Base de Datos de Monitoreo del Estado de las Unidades Productoras en el Marco del Invierte.pe, del Plan Nacional de Infraestructura Educativa, y del Censo Educativo en el tiempo t.</w:t>
            </w:r>
          </w:p>
          <w:p w14:paraId="0897DA52" w14:textId="77777777" w:rsidR="00CF00D1" w:rsidRDefault="00CF00D1" w:rsidP="0026361C">
            <w:pPr>
              <w:spacing w:before="120" w:after="120"/>
              <w:ind w:left="708"/>
              <w:contextualSpacing/>
              <w:jc w:val="both"/>
              <w:rPr>
                <w:rFonts w:ascii="Arial" w:hAnsi="Arial"/>
                <w:sz w:val="20"/>
                <w:szCs w:val="20"/>
              </w:rPr>
            </w:pPr>
          </w:p>
          <w:p w14:paraId="22996DD0" w14:textId="5AF4058C" w:rsidR="00CF00D1" w:rsidRDefault="00000000" w:rsidP="0026361C">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CTUPSA</m:t>
                  </m:r>
                </m:e>
                <m:sub>
                  <m:r>
                    <m:rPr>
                      <m:sty m:val="bi"/>
                    </m:rPr>
                    <w:rPr>
                      <w:rFonts w:ascii="Cambria Math" w:hAnsi="Cambria Math"/>
                      <w:sz w:val="20"/>
                      <w:szCs w:val="20"/>
                    </w:rPr>
                    <m:t>t</m:t>
                  </m:r>
                </m:sub>
                <m:sup>
                  <m:r>
                    <w:rPr>
                      <w:rFonts w:ascii="Cambria Math" w:hAnsi="Cambria Math"/>
                      <w:sz w:val="20"/>
                      <w:szCs w:val="20"/>
                    </w:rPr>
                    <m:t xml:space="preserve"> </m:t>
                  </m:r>
                </m:sup>
              </m:sSubSup>
            </m:oMath>
            <w:r w:rsidR="00CF00D1" w:rsidRPr="005A5A3D">
              <w:rPr>
                <w:rFonts w:ascii="Cambria Math" w:hAnsi="Cambria Math"/>
                <w:i/>
                <w:sz w:val="20"/>
                <w:szCs w:val="20"/>
              </w:rPr>
              <w:t xml:space="preserve">: </w:t>
            </w:r>
            <w:r w:rsidR="00CF00D1" w:rsidRPr="00CF00D1">
              <w:rPr>
                <w:rFonts w:ascii="Arial" w:hAnsi="Arial"/>
                <w:sz w:val="20"/>
                <w:szCs w:val="20"/>
              </w:rPr>
              <w:t xml:space="preserve">Cantidad de unidades productoras que implementan el MSE Sobresaliente </w:t>
            </w:r>
            <w:r w:rsidR="00CF00D1" w:rsidRPr="005A5A3D">
              <w:rPr>
                <w:rFonts w:ascii="Arial" w:hAnsi="Arial"/>
                <w:sz w:val="20"/>
                <w:szCs w:val="20"/>
              </w:rPr>
              <w:t>con capacidad instalada adecuada</w:t>
            </w:r>
            <w:r w:rsidR="00CF00D1" w:rsidRPr="00CF00D1">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0EA8EFB9" w14:textId="77777777" w:rsidR="00BE1052" w:rsidRDefault="00BE1052" w:rsidP="0026361C">
            <w:pPr>
              <w:spacing w:before="120" w:after="120"/>
              <w:ind w:left="708"/>
              <w:contextualSpacing/>
              <w:jc w:val="both"/>
              <w:rPr>
                <w:rFonts w:ascii="Arial" w:hAnsi="Arial"/>
                <w:sz w:val="20"/>
                <w:szCs w:val="20"/>
              </w:rPr>
            </w:pPr>
          </w:p>
          <w:p w14:paraId="27C9A510" w14:textId="6846FA53" w:rsidR="00BE1052" w:rsidRDefault="00000000" w:rsidP="00BE1052">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CTUPSE</m:t>
                  </m:r>
                </m:e>
                <m:sub>
                  <m:r>
                    <m:rPr>
                      <m:sty m:val="bi"/>
                    </m:rPr>
                    <w:rPr>
                      <w:rFonts w:ascii="Cambria Math" w:hAnsi="Cambria Math"/>
                      <w:sz w:val="20"/>
                      <w:szCs w:val="20"/>
                    </w:rPr>
                    <m:t>t</m:t>
                  </m:r>
                </m:sub>
                <m:sup>
                  <m:r>
                    <w:rPr>
                      <w:rFonts w:ascii="Cambria Math" w:hAnsi="Cambria Math"/>
                      <w:sz w:val="20"/>
                      <w:szCs w:val="20"/>
                    </w:rPr>
                    <m:t xml:space="preserve"> </m:t>
                  </m:r>
                </m:sup>
              </m:sSubSup>
            </m:oMath>
            <w:r w:rsidR="00BE1052" w:rsidRPr="00642451">
              <w:rPr>
                <w:rFonts w:ascii="Cambria Math" w:hAnsi="Cambria Math"/>
                <w:i/>
                <w:sz w:val="20"/>
                <w:szCs w:val="20"/>
              </w:rPr>
              <w:t xml:space="preserve">: </w:t>
            </w:r>
            <w:r w:rsidR="00BE1052" w:rsidRPr="00CF00D1">
              <w:rPr>
                <w:rFonts w:ascii="Arial" w:hAnsi="Arial"/>
                <w:sz w:val="20"/>
                <w:szCs w:val="20"/>
              </w:rPr>
              <w:t xml:space="preserve">Cantidad de unidades productoras que implementan el MSE Sobresaliente </w:t>
            </w:r>
            <w:r w:rsidR="00BE1052" w:rsidRPr="00642451">
              <w:rPr>
                <w:rFonts w:ascii="Arial" w:hAnsi="Arial"/>
                <w:sz w:val="20"/>
                <w:szCs w:val="20"/>
              </w:rPr>
              <w:t xml:space="preserve">con capacidad instalada </w:t>
            </w:r>
            <w:r w:rsidR="00BE1052">
              <w:rPr>
                <w:rFonts w:ascii="Arial" w:hAnsi="Arial"/>
                <w:sz w:val="20"/>
                <w:szCs w:val="20"/>
              </w:rPr>
              <w:t>existente</w:t>
            </w:r>
            <w:r w:rsidR="00BE1052" w:rsidRPr="00CF00D1">
              <w:rPr>
                <w:rFonts w:ascii="Arial" w:hAnsi="Arial"/>
                <w:sz w:val="20"/>
                <w:szCs w:val="20"/>
              </w:rPr>
              <w:t xml:space="preserve"> identificadas en la Base de Datos de Monitoreo del Estado de las Unidades Productoras en el Marco del Invierte.pe, del Plan Nacional de Infraestructura Educativa, y del Censo Educativo, en el tiempo t.</w:t>
            </w:r>
          </w:p>
          <w:p w14:paraId="07D7AD03" w14:textId="77777777" w:rsidR="00BE1052" w:rsidRDefault="00BE1052" w:rsidP="0026361C">
            <w:pPr>
              <w:spacing w:before="120" w:after="120"/>
              <w:ind w:left="708"/>
              <w:contextualSpacing/>
              <w:jc w:val="both"/>
              <w:rPr>
                <w:rFonts w:ascii="Arial" w:hAnsi="Arial"/>
                <w:sz w:val="20"/>
                <w:szCs w:val="20"/>
              </w:rPr>
            </w:pPr>
          </w:p>
          <w:p w14:paraId="45238120" w14:textId="6089BAF2" w:rsidR="00BE1052" w:rsidRDefault="00000000" w:rsidP="00BE1052">
            <w:pPr>
              <w:spacing w:before="120" w:after="120"/>
              <w:ind w:left="708"/>
              <w:contextualSpacing/>
              <w:jc w:val="both"/>
              <w:rPr>
                <w:rFonts w:ascii="Arial" w:hAnsi="Arial"/>
                <w:sz w:val="20"/>
                <w:szCs w:val="20"/>
              </w:rPr>
            </w:pPr>
            <m:oMath>
              <m:sSubSup>
                <m:sSubSupPr>
                  <m:ctrlPr>
                    <w:rPr>
                      <w:rFonts w:ascii="Cambria Math" w:hAnsi="Cambria Math"/>
                      <w:i/>
                      <w:sz w:val="20"/>
                      <w:szCs w:val="20"/>
                    </w:rPr>
                  </m:ctrlPr>
                </m:sSubSupPr>
                <m:e>
                  <m:r>
                    <w:rPr>
                      <w:rFonts w:ascii="Cambria Math" w:hAnsi="Cambria Math"/>
                      <w:sz w:val="20"/>
                      <w:szCs w:val="20"/>
                    </w:rPr>
                    <m:t>CTUPSN</m:t>
                  </m:r>
                </m:e>
                <m:sub>
                  <m:r>
                    <m:rPr>
                      <m:sty m:val="bi"/>
                    </m:rPr>
                    <w:rPr>
                      <w:rFonts w:ascii="Cambria Math" w:hAnsi="Cambria Math"/>
                      <w:sz w:val="20"/>
                      <w:szCs w:val="20"/>
                    </w:rPr>
                    <m:t>t</m:t>
                  </m:r>
                </m:sub>
                <m:sup>
                  <m:r>
                    <w:rPr>
                      <w:rFonts w:ascii="Cambria Math" w:hAnsi="Cambria Math"/>
                      <w:sz w:val="20"/>
                      <w:szCs w:val="20"/>
                    </w:rPr>
                    <m:t xml:space="preserve"> </m:t>
                  </m:r>
                </m:sup>
              </m:sSubSup>
            </m:oMath>
            <w:r w:rsidR="00BE1052" w:rsidRPr="00642451">
              <w:rPr>
                <w:rFonts w:ascii="Cambria Math" w:hAnsi="Cambria Math"/>
                <w:i/>
                <w:sz w:val="20"/>
                <w:szCs w:val="20"/>
              </w:rPr>
              <w:t xml:space="preserve">: </w:t>
            </w:r>
            <w:r w:rsidR="00BE1052" w:rsidRPr="00CF00D1">
              <w:rPr>
                <w:rFonts w:ascii="Arial" w:hAnsi="Arial"/>
                <w:sz w:val="20"/>
                <w:szCs w:val="20"/>
              </w:rPr>
              <w:t xml:space="preserve">Cantidad de unidades productoras que implementan el MSE Sobresaliente </w:t>
            </w:r>
            <w:r w:rsidR="00BE1052" w:rsidRPr="00642451">
              <w:rPr>
                <w:rFonts w:ascii="Arial" w:hAnsi="Arial"/>
                <w:sz w:val="20"/>
                <w:szCs w:val="20"/>
              </w:rPr>
              <w:t xml:space="preserve">con capacidad instalada </w:t>
            </w:r>
            <w:r w:rsidR="00BE1052">
              <w:rPr>
                <w:rFonts w:ascii="Arial" w:hAnsi="Arial"/>
                <w:sz w:val="20"/>
                <w:szCs w:val="20"/>
              </w:rPr>
              <w:t>no</w:t>
            </w:r>
            <w:r w:rsidR="00BE1052" w:rsidRPr="00CF00D1">
              <w:rPr>
                <w:rFonts w:ascii="Arial" w:hAnsi="Arial"/>
                <w:sz w:val="20"/>
                <w:szCs w:val="20"/>
              </w:rPr>
              <w:t xml:space="preserve"> identificada en la Base de Datos de Monitoreo del Estado de las Unidades Productoras en el Marco del Invierte.pe, del Plan Nacional de Infraestructura Educativa, y del Censo Educativo, en el tiempo t.</w:t>
            </w:r>
          </w:p>
          <w:p w14:paraId="40E062B4" w14:textId="77777777" w:rsidR="00BE1052" w:rsidRDefault="00BE1052" w:rsidP="0026361C">
            <w:pPr>
              <w:spacing w:before="120" w:after="120"/>
              <w:ind w:left="708"/>
              <w:contextualSpacing/>
              <w:jc w:val="both"/>
              <w:rPr>
                <w:rFonts w:ascii="Arial" w:hAnsi="Arial"/>
                <w:sz w:val="20"/>
                <w:szCs w:val="20"/>
              </w:rPr>
            </w:pPr>
          </w:p>
          <w:p w14:paraId="22D005C0" w14:textId="77777777" w:rsidR="00BE1052" w:rsidRDefault="00BE1052" w:rsidP="0026361C">
            <w:pPr>
              <w:spacing w:before="120" w:after="120"/>
              <w:ind w:left="708"/>
              <w:contextualSpacing/>
              <w:jc w:val="both"/>
              <w:rPr>
                <w:rFonts w:ascii="Arial" w:hAnsi="Arial"/>
                <w:sz w:val="20"/>
                <w:szCs w:val="20"/>
              </w:rPr>
            </w:pPr>
          </w:p>
          <w:p w14:paraId="5DD62849" w14:textId="77777777" w:rsidR="00CF00D1" w:rsidRDefault="00CF00D1" w:rsidP="0026361C">
            <w:pPr>
              <w:spacing w:before="120" w:after="120"/>
              <w:ind w:left="708"/>
              <w:contextualSpacing/>
              <w:jc w:val="both"/>
              <w:rPr>
                <w:rFonts w:ascii="Arial" w:hAnsi="Arial"/>
                <w:sz w:val="20"/>
                <w:szCs w:val="20"/>
              </w:rPr>
            </w:pPr>
          </w:p>
          <w:p w14:paraId="3B36C1BA" w14:textId="77777777" w:rsidR="00246044" w:rsidRPr="0026361C" w:rsidRDefault="00246044" w:rsidP="005A5A3D">
            <w:pPr>
              <w:spacing w:before="120" w:after="120"/>
              <w:ind w:left="708"/>
              <w:contextualSpacing/>
              <w:jc w:val="both"/>
              <w:rPr>
                <w:rFonts w:ascii="Arial" w:hAnsi="Arial" w:cs="Arial"/>
                <w:b/>
                <w:bCs/>
                <w:szCs w:val="20"/>
              </w:rPr>
            </w:pPr>
          </w:p>
        </w:tc>
      </w:tr>
      <w:tr w:rsidR="005A23AD" w:rsidRPr="005A23AD" w14:paraId="730684A9" w14:textId="4CA7E152"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F7BF502" w14:textId="73F919D4" w:rsidR="002C6B38" w:rsidRPr="005A23AD" w:rsidRDefault="002C6B38" w:rsidP="002C6B38">
            <w:pPr>
              <w:rPr>
                <w:rFonts w:ascii="Arial" w:hAnsi="Arial" w:cs="Arial"/>
                <w:sz w:val="18"/>
                <w:szCs w:val="20"/>
              </w:rPr>
            </w:pPr>
            <w:r w:rsidRPr="005A23AD">
              <w:rPr>
                <w:rFonts w:ascii="Arial" w:hAnsi="Arial" w:cs="Arial"/>
                <w:b/>
                <w:bCs/>
                <w:szCs w:val="20"/>
              </w:rPr>
              <w:lastRenderedPageBreak/>
              <w:t>Precisiones</w:t>
            </w:r>
            <w:r w:rsidRPr="005A23AD">
              <w:rPr>
                <w:rFonts w:ascii="Arial" w:hAnsi="Arial" w:cs="Arial"/>
                <w:b/>
                <w:bCs/>
                <w:sz w:val="20"/>
                <w:szCs w:val="20"/>
              </w:rPr>
              <w:t xml:space="preserve"> </w:t>
            </w:r>
            <w:r w:rsidRPr="005A23AD">
              <w:rPr>
                <w:rFonts w:ascii="Arial" w:hAnsi="Arial" w:cs="Arial"/>
                <w:b/>
                <w:bCs/>
                <w:szCs w:val="20"/>
              </w:rPr>
              <w:t>Técnicas</w:t>
            </w:r>
          </w:p>
        </w:tc>
      </w:tr>
      <w:tr w:rsidR="003C33F5" w:rsidRPr="003C33F5" w14:paraId="706D69A9"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8F947CE" w14:textId="77777777" w:rsidR="00A6796B" w:rsidRPr="003C33F5" w:rsidRDefault="00A6796B" w:rsidP="00A6796B">
            <w:pPr>
              <w:autoSpaceDE w:val="0"/>
              <w:autoSpaceDN w:val="0"/>
              <w:contextualSpacing/>
              <w:jc w:val="both"/>
              <w:rPr>
                <w:rFonts w:ascii="Arial" w:hAnsi="Arial"/>
                <w:color w:val="FF0000"/>
                <w:sz w:val="20"/>
                <w:szCs w:val="20"/>
              </w:rPr>
            </w:pPr>
          </w:p>
          <w:p w14:paraId="32DA7FA6" w14:textId="77777777" w:rsidR="005A23AD" w:rsidRPr="00562C47" w:rsidRDefault="005A23AD" w:rsidP="005A23AD">
            <w:pPr>
              <w:pStyle w:val="Prrafodelista"/>
              <w:numPr>
                <w:ilvl w:val="0"/>
                <w:numId w:val="2"/>
              </w:numPr>
              <w:jc w:val="both"/>
              <w:rPr>
                <w:rFonts w:ascii="Arial" w:hAnsi="Arial"/>
                <w:sz w:val="20"/>
                <w:szCs w:val="20"/>
              </w:rPr>
            </w:pPr>
            <w:r w:rsidRPr="00562C47">
              <w:rPr>
                <w:rFonts w:ascii="Arial" w:hAnsi="Arial"/>
                <w:sz w:val="20"/>
                <w:szCs w:val="20"/>
              </w:rPr>
              <w:t>El diagnóstico o tipo de intervención que puede recibir un local educativo, UP o ambiente, según las fuentes de información, se detalla a continuación:</w:t>
            </w:r>
          </w:p>
          <w:p w14:paraId="035FE2EB" w14:textId="77777777" w:rsidR="005A23AD" w:rsidRDefault="005A23AD" w:rsidP="005A23AD">
            <w:pPr>
              <w:jc w:val="both"/>
              <w:rPr>
                <w:rFonts w:ascii="Arial" w:hAnsi="Arial"/>
                <w:sz w:val="20"/>
                <w:szCs w:val="20"/>
              </w:rPr>
            </w:pPr>
          </w:p>
          <w:p w14:paraId="1090FC29" w14:textId="77777777" w:rsidR="005A23AD" w:rsidRDefault="005A23AD" w:rsidP="005A23AD">
            <w:pPr>
              <w:pStyle w:val="Prrafodelista"/>
              <w:numPr>
                <w:ilvl w:val="1"/>
                <w:numId w:val="2"/>
              </w:numPr>
              <w:jc w:val="both"/>
              <w:rPr>
                <w:rFonts w:ascii="Arial" w:hAnsi="Arial"/>
                <w:sz w:val="20"/>
                <w:szCs w:val="20"/>
              </w:rPr>
            </w:pPr>
            <w:r>
              <w:rPr>
                <w:rFonts w:ascii="Arial" w:hAnsi="Arial"/>
                <w:sz w:val="20"/>
                <w:szCs w:val="20"/>
              </w:rPr>
              <w:t>Según la</w:t>
            </w:r>
            <w:r w:rsidRPr="00F637C9">
              <w:rPr>
                <w:rFonts w:ascii="Arial" w:hAnsi="Arial"/>
                <w:sz w:val="20"/>
                <w:szCs w:val="20"/>
              </w:rPr>
              <w:t xml:space="preserve"> Base de Datos de Monitoreo del Estado </w:t>
            </w:r>
            <w:r>
              <w:rPr>
                <w:rFonts w:ascii="Arial" w:hAnsi="Arial"/>
                <w:sz w:val="20"/>
                <w:szCs w:val="20"/>
              </w:rPr>
              <w:t xml:space="preserve">de </w:t>
            </w:r>
            <w:r w:rsidRPr="00F637C9">
              <w:rPr>
                <w:rFonts w:ascii="Arial" w:hAnsi="Arial"/>
                <w:sz w:val="20"/>
                <w:szCs w:val="20"/>
              </w:rPr>
              <w:t>las Unidades Productor</w:t>
            </w:r>
            <w:r>
              <w:rPr>
                <w:rFonts w:ascii="Arial" w:hAnsi="Arial"/>
                <w:sz w:val="20"/>
                <w:szCs w:val="20"/>
              </w:rPr>
              <w:t>as en el Marco del Invierte.pe</w:t>
            </w:r>
            <w:r>
              <w:rPr>
                <w:rStyle w:val="Refdenotaalpie"/>
                <w:rFonts w:ascii="Arial" w:hAnsi="Arial"/>
                <w:sz w:val="20"/>
                <w:szCs w:val="20"/>
              </w:rPr>
              <w:footnoteReference w:id="8"/>
            </w:r>
            <w:r>
              <w:rPr>
                <w:rFonts w:ascii="Arial" w:hAnsi="Arial"/>
                <w:sz w:val="20"/>
                <w:szCs w:val="20"/>
              </w:rPr>
              <w:t xml:space="preserve">, si la inversión cumple de manera simultánea con todas las condiciones asociadas al criterio, la estimación del estado de la UP puede ser adecuado o inadecuado. </w:t>
            </w:r>
          </w:p>
          <w:p w14:paraId="25265982" w14:textId="77777777" w:rsidR="005A23AD" w:rsidRDefault="005A23AD" w:rsidP="005A23AD">
            <w:pPr>
              <w:jc w:val="both"/>
              <w:rPr>
                <w:rFonts w:ascii="Arial" w:hAnsi="Arial"/>
                <w:sz w:val="20"/>
                <w:szCs w:val="20"/>
              </w:rPr>
            </w:pPr>
          </w:p>
          <w:tbl>
            <w:tblPr>
              <w:tblW w:w="8569" w:type="dxa"/>
              <w:jc w:val="center"/>
              <w:tblLayout w:type="fixed"/>
              <w:tblCellMar>
                <w:left w:w="70" w:type="dxa"/>
                <w:right w:w="70" w:type="dxa"/>
              </w:tblCellMar>
              <w:tblLook w:val="04A0" w:firstRow="1" w:lastRow="0" w:firstColumn="1" w:lastColumn="0" w:noHBand="0" w:noVBand="1"/>
            </w:tblPr>
            <w:tblGrid>
              <w:gridCol w:w="2012"/>
              <w:gridCol w:w="4677"/>
              <w:gridCol w:w="1880"/>
            </w:tblGrid>
            <w:tr w:rsidR="005A23AD" w:rsidRPr="00393CAF" w14:paraId="49547CC0" w14:textId="77777777" w:rsidTr="00362FAA">
              <w:trPr>
                <w:trHeight w:val="438"/>
                <w:jc w:val="center"/>
              </w:trPr>
              <w:tc>
                <w:tcPr>
                  <w:tcW w:w="2012"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4B4494EF" w14:textId="77777777" w:rsidR="005A23AD" w:rsidRPr="0039057B" w:rsidRDefault="005A23AD" w:rsidP="005A23AD">
                  <w:pPr>
                    <w:spacing w:after="0" w:line="240" w:lineRule="auto"/>
                    <w:jc w:val="center"/>
                    <w:rPr>
                      <w:rFonts w:ascii="Arial" w:eastAsia="Times New Roman" w:hAnsi="Arial"/>
                      <w:b/>
                      <w:bCs/>
                      <w:color w:val="000000"/>
                      <w:sz w:val="16"/>
                      <w:lang w:eastAsia="es-PE"/>
                    </w:rPr>
                  </w:pPr>
                  <w:r w:rsidRPr="0039057B">
                    <w:rPr>
                      <w:rFonts w:ascii="Arial" w:eastAsia="Times New Roman" w:hAnsi="Arial"/>
                      <w:b/>
                      <w:bCs/>
                      <w:color w:val="000000"/>
                      <w:sz w:val="16"/>
                      <w:lang w:eastAsia="es-PE"/>
                    </w:rPr>
                    <w:t>Criterio</w:t>
                  </w:r>
                </w:p>
              </w:tc>
              <w:tc>
                <w:tcPr>
                  <w:tcW w:w="4677" w:type="dxa"/>
                  <w:tcBorders>
                    <w:top w:val="single" w:sz="4" w:space="0" w:color="auto"/>
                    <w:left w:val="nil"/>
                    <w:bottom w:val="single" w:sz="4" w:space="0" w:color="auto"/>
                    <w:right w:val="single" w:sz="4" w:space="0" w:color="auto"/>
                  </w:tcBorders>
                  <w:shd w:val="clear" w:color="000000" w:fill="AEAAAA"/>
                  <w:vAlign w:val="center"/>
                  <w:hideMark/>
                </w:tcPr>
                <w:p w14:paraId="21128452" w14:textId="77777777" w:rsidR="005A23AD" w:rsidRPr="0039057B" w:rsidRDefault="005A23AD" w:rsidP="005A23AD">
                  <w:pPr>
                    <w:spacing w:after="0" w:line="240" w:lineRule="auto"/>
                    <w:jc w:val="center"/>
                    <w:rPr>
                      <w:rFonts w:ascii="Arial" w:eastAsia="Times New Roman" w:hAnsi="Arial"/>
                      <w:b/>
                      <w:bCs/>
                      <w:color w:val="000000"/>
                      <w:sz w:val="16"/>
                      <w:lang w:eastAsia="es-PE"/>
                    </w:rPr>
                  </w:pPr>
                  <w:r w:rsidRPr="0039057B">
                    <w:rPr>
                      <w:rFonts w:ascii="Arial" w:eastAsia="Times New Roman" w:hAnsi="Arial"/>
                      <w:b/>
                      <w:bCs/>
                      <w:color w:val="000000"/>
                      <w:sz w:val="16"/>
                      <w:lang w:eastAsia="es-PE"/>
                    </w:rPr>
                    <w:t>Condiciones</w:t>
                  </w:r>
                </w:p>
              </w:tc>
              <w:tc>
                <w:tcPr>
                  <w:tcW w:w="1880" w:type="dxa"/>
                  <w:tcBorders>
                    <w:top w:val="single" w:sz="4" w:space="0" w:color="auto"/>
                    <w:left w:val="nil"/>
                    <w:bottom w:val="single" w:sz="4" w:space="0" w:color="auto"/>
                    <w:right w:val="single" w:sz="4" w:space="0" w:color="auto"/>
                  </w:tcBorders>
                  <w:shd w:val="clear" w:color="000000" w:fill="AEAAAA"/>
                  <w:vAlign w:val="center"/>
                  <w:hideMark/>
                </w:tcPr>
                <w:p w14:paraId="5E6AFC0E" w14:textId="77777777" w:rsidR="005A23AD" w:rsidRPr="0039057B" w:rsidRDefault="005A23AD" w:rsidP="005A23AD">
                  <w:pPr>
                    <w:spacing w:after="0" w:line="240" w:lineRule="auto"/>
                    <w:jc w:val="center"/>
                    <w:rPr>
                      <w:rFonts w:ascii="Arial" w:eastAsia="Times New Roman" w:hAnsi="Arial"/>
                      <w:b/>
                      <w:bCs/>
                      <w:color w:val="000000"/>
                      <w:sz w:val="16"/>
                      <w:lang w:eastAsia="es-PE"/>
                    </w:rPr>
                  </w:pPr>
                  <w:r w:rsidRPr="0039057B">
                    <w:rPr>
                      <w:rFonts w:ascii="Arial" w:eastAsia="Times New Roman" w:hAnsi="Arial"/>
                      <w:b/>
                      <w:bCs/>
                      <w:color w:val="000000"/>
                      <w:sz w:val="16"/>
                      <w:lang w:eastAsia="es-PE"/>
                    </w:rPr>
                    <w:t>Estado de la U</w:t>
                  </w:r>
                  <w:r>
                    <w:rPr>
                      <w:rFonts w:ascii="Arial" w:eastAsia="Times New Roman" w:hAnsi="Arial"/>
                      <w:b/>
                      <w:bCs/>
                      <w:color w:val="000000"/>
                      <w:sz w:val="16"/>
                      <w:lang w:eastAsia="es-PE"/>
                    </w:rPr>
                    <w:t>P asociada a la inversión analizada</w:t>
                  </w:r>
                </w:p>
              </w:tc>
            </w:tr>
            <w:tr w:rsidR="005A23AD" w:rsidRPr="00393CAF" w14:paraId="4948E37C" w14:textId="77777777" w:rsidTr="00362FAA">
              <w:trPr>
                <w:trHeight w:val="62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4942BF85" w14:textId="77777777" w:rsidR="005A23AD" w:rsidRPr="0039057B" w:rsidRDefault="005A23AD" w:rsidP="005A23AD">
                  <w:pPr>
                    <w:spacing w:after="0" w:line="240" w:lineRule="auto"/>
                    <w:jc w:val="both"/>
                    <w:rPr>
                      <w:rFonts w:ascii="Arial" w:eastAsia="Times New Roman" w:hAnsi="Arial"/>
                      <w:color w:val="000000"/>
                      <w:sz w:val="16"/>
                      <w:lang w:eastAsia="es-PE"/>
                    </w:rPr>
                  </w:pPr>
                  <w:r w:rsidRPr="0039057B">
                    <w:rPr>
                      <w:rFonts w:ascii="Arial" w:eastAsia="Times New Roman" w:hAnsi="Arial"/>
                      <w:color w:val="000000"/>
                      <w:sz w:val="16"/>
                      <w:lang w:eastAsia="es-PE"/>
                    </w:rPr>
                    <w:t>Criterio para Estimar el Estado de las Unidades Productoras con capacidad instalada inadecuada</w:t>
                  </w:r>
                </w:p>
              </w:tc>
              <w:tc>
                <w:tcPr>
                  <w:tcW w:w="4677" w:type="dxa"/>
                  <w:tcBorders>
                    <w:top w:val="nil"/>
                    <w:left w:val="nil"/>
                    <w:bottom w:val="single" w:sz="4" w:space="0" w:color="auto"/>
                    <w:right w:val="single" w:sz="4" w:space="0" w:color="auto"/>
                  </w:tcBorders>
                  <w:shd w:val="clear" w:color="auto" w:fill="auto"/>
                  <w:vAlign w:val="center"/>
                  <w:hideMark/>
                </w:tcPr>
                <w:p w14:paraId="20BA2F21" w14:textId="77777777" w:rsidR="005A23AD" w:rsidRPr="0039057B" w:rsidRDefault="005A23AD" w:rsidP="005A23AD">
                  <w:pPr>
                    <w:spacing w:after="0" w:line="240" w:lineRule="auto"/>
                    <w:jc w:val="both"/>
                    <w:rPr>
                      <w:rFonts w:ascii="Arial" w:eastAsia="Times New Roman" w:hAnsi="Arial"/>
                      <w:color w:val="000000"/>
                      <w:sz w:val="16"/>
                      <w:lang w:eastAsia="es-PE"/>
                    </w:rPr>
                  </w:pPr>
                  <w:r w:rsidRPr="0039057B">
                    <w:rPr>
                      <w:rFonts w:ascii="Arial" w:eastAsia="Times New Roman" w:hAnsi="Arial"/>
                      <w:b/>
                      <w:bCs/>
                      <w:color w:val="000000"/>
                      <w:sz w:val="16"/>
                      <w:lang w:eastAsia="es-PE"/>
                    </w:rPr>
                    <w:t>Condición N º 1</w:t>
                  </w:r>
                  <w:r w:rsidRPr="0039057B">
                    <w:rPr>
                      <w:rFonts w:ascii="Arial" w:eastAsia="Times New Roman" w:hAnsi="Arial"/>
                      <w:color w:val="000000"/>
                      <w:sz w:val="16"/>
                      <w:lang w:eastAsia="es-PE"/>
                    </w:rPr>
                    <w:t>: La inversión analizada se encuentra en la fase de “Formulación y Evaluación” o “Ejecución”</w:t>
                  </w:r>
                  <w:r>
                    <w:rPr>
                      <w:rFonts w:ascii="Arial" w:eastAsia="Times New Roman" w:hAnsi="Arial"/>
                      <w:color w:val="000000"/>
                      <w:sz w:val="16"/>
                      <w:lang w:eastAsia="es-PE"/>
                    </w:rPr>
                    <w:t>.</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21AEC85A" w14:textId="77777777" w:rsidR="005A23AD" w:rsidRPr="0039057B" w:rsidRDefault="005A23AD" w:rsidP="005A23AD">
                  <w:pPr>
                    <w:spacing w:after="0" w:line="240" w:lineRule="auto"/>
                    <w:jc w:val="center"/>
                    <w:rPr>
                      <w:rFonts w:ascii="Arial" w:eastAsia="Times New Roman" w:hAnsi="Arial"/>
                      <w:color w:val="000000"/>
                      <w:sz w:val="16"/>
                      <w:lang w:eastAsia="es-PE"/>
                    </w:rPr>
                  </w:pPr>
                  <w:r w:rsidRPr="0039057B">
                    <w:rPr>
                      <w:rFonts w:ascii="Arial" w:eastAsia="Times New Roman" w:hAnsi="Arial"/>
                      <w:color w:val="000000"/>
                      <w:sz w:val="16"/>
                      <w:lang w:eastAsia="es-PE"/>
                    </w:rPr>
                    <w:t>Inadecuado</w:t>
                  </w:r>
                </w:p>
              </w:tc>
            </w:tr>
            <w:tr w:rsidR="005A23AD" w:rsidRPr="00393CAF" w14:paraId="68258756" w14:textId="77777777" w:rsidTr="00362FAA">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0C4BEE22" w14:textId="77777777" w:rsidR="005A23AD" w:rsidRPr="0039057B" w:rsidRDefault="005A23AD" w:rsidP="005A23AD">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57FB38E9" w14:textId="77777777" w:rsidR="005A23AD" w:rsidRPr="0039057B" w:rsidRDefault="005A23AD" w:rsidP="005A23AD">
                  <w:pPr>
                    <w:spacing w:after="0" w:line="240" w:lineRule="auto"/>
                    <w:jc w:val="both"/>
                    <w:rPr>
                      <w:rFonts w:ascii="Arial" w:eastAsia="Times New Roman" w:hAnsi="Arial"/>
                      <w:color w:val="000000"/>
                      <w:sz w:val="16"/>
                      <w:lang w:eastAsia="es-PE"/>
                    </w:rPr>
                  </w:pPr>
                  <w:r w:rsidRPr="0039057B">
                    <w:rPr>
                      <w:rFonts w:ascii="Arial" w:eastAsia="Times New Roman" w:hAnsi="Arial"/>
                      <w:b/>
                      <w:bCs/>
                      <w:color w:val="000000"/>
                      <w:sz w:val="16"/>
                      <w:lang w:eastAsia="es-PE"/>
                    </w:rPr>
                    <w:t>Condición N º 2:</w:t>
                  </w:r>
                  <w:r w:rsidRPr="0039057B">
                    <w:rPr>
                      <w:rFonts w:ascii="Arial" w:eastAsia="Times New Roman" w:hAnsi="Arial"/>
                      <w:color w:val="000000"/>
                      <w:sz w:val="16"/>
                      <w:lang w:eastAsia="es-PE"/>
                    </w:rPr>
                    <w:t xml:space="preserve"> La inversión analizada es una inversión cuyo estado es activo.</w:t>
                  </w:r>
                </w:p>
              </w:tc>
              <w:tc>
                <w:tcPr>
                  <w:tcW w:w="1880" w:type="dxa"/>
                  <w:vMerge/>
                  <w:tcBorders>
                    <w:top w:val="nil"/>
                    <w:left w:val="single" w:sz="4" w:space="0" w:color="auto"/>
                    <w:bottom w:val="single" w:sz="4" w:space="0" w:color="auto"/>
                    <w:right w:val="single" w:sz="4" w:space="0" w:color="auto"/>
                  </w:tcBorders>
                  <w:vAlign w:val="center"/>
                  <w:hideMark/>
                </w:tcPr>
                <w:p w14:paraId="5BC32313" w14:textId="77777777" w:rsidR="005A23AD" w:rsidRPr="0039057B" w:rsidRDefault="005A23AD" w:rsidP="005A23AD">
                  <w:pPr>
                    <w:spacing w:after="0" w:line="240" w:lineRule="auto"/>
                    <w:rPr>
                      <w:rFonts w:ascii="Arial" w:eastAsia="Times New Roman" w:hAnsi="Arial"/>
                      <w:color w:val="000000"/>
                      <w:sz w:val="16"/>
                      <w:lang w:eastAsia="es-PE"/>
                    </w:rPr>
                  </w:pPr>
                </w:p>
              </w:tc>
            </w:tr>
            <w:tr w:rsidR="005A23AD" w:rsidRPr="00393CAF" w14:paraId="55577A92" w14:textId="77777777" w:rsidTr="00362FAA">
              <w:trPr>
                <w:trHeight w:val="209"/>
                <w:jc w:val="center"/>
              </w:trPr>
              <w:tc>
                <w:tcPr>
                  <w:tcW w:w="2012" w:type="dxa"/>
                  <w:vMerge w:val="restart"/>
                  <w:tcBorders>
                    <w:top w:val="nil"/>
                    <w:left w:val="single" w:sz="4" w:space="0" w:color="auto"/>
                    <w:bottom w:val="single" w:sz="4" w:space="0" w:color="auto"/>
                    <w:right w:val="single" w:sz="4" w:space="0" w:color="auto"/>
                  </w:tcBorders>
                  <w:shd w:val="clear" w:color="auto" w:fill="auto"/>
                  <w:vAlign w:val="center"/>
                  <w:hideMark/>
                </w:tcPr>
                <w:p w14:paraId="02C5DC9E" w14:textId="77777777" w:rsidR="005A23AD" w:rsidRPr="0039057B" w:rsidRDefault="005A23AD" w:rsidP="005A23AD">
                  <w:pPr>
                    <w:spacing w:after="0" w:line="240" w:lineRule="auto"/>
                    <w:jc w:val="both"/>
                    <w:rPr>
                      <w:rFonts w:ascii="Arial" w:eastAsia="Times New Roman" w:hAnsi="Arial"/>
                      <w:color w:val="000000"/>
                      <w:sz w:val="16"/>
                      <w:lang w:eastAsia="es-PE"/>
                    </w:rPr>
                  </w:pPr>
                  <w:r w:rsidRPr="0039057B">
                    <w:rPr>
                      <w:rFonts w:ascii="Arial" w:eastAsia="Times New Roman" w:hAnsi="Arial"/>
                      <w:color w:val="000000"/>
                      <w:sz w:val="16"/>
                      <w:lang w:eastAsia="es-PE"/>
                    </w:rPr>
                    <w:t>Criterio para Estimar el Estado de las Unidades Productoras con capacidad instalada adecuada</w:t>
                  </w:r>
                </w:p>
              </w:tc>
              <w:tc>
                <w:tcPr>
                  <w:tcW w:w="4677" w:type="dxa"/>
                  <w:tcBorders>
                    <w:top w:val="nil"/>
                    <w:left w:val="nil"/>
                    <w:bottom w:val="single" w:sz="4" w:space="0" w:color="auto"/>
                    <w:right w:val="single" w:sz="4" w:space="0" w:color="auto"/>
                  </w:tcBorders>
                  <w:shd w:val="clear" w:color="auto" w:fill="auto"/>
                  <w:vAlign w:val="center"/>
                  <w:hideMark/>
                </w:tcPr>
                <w:p w14:paraId="7BAD3BDD" w14:textId="77777777" w:rsidR="005A23AD" w:rsidRPr="0039057B" w:rsidRDefault="005A23AD" w:rsidP="005A23AD">
                  <w:pPr>
                    <w:spacing w:after="0" w:line="240" w:lineRule="auto"/>
                    <w:jc w:val="both"/>
                    <w:rPr>
                      <w:rFonts w:ascii="Arial" w:eastAsia="Times New Roman" w:hAnsi="Arial"/>
                      <w:color w:val="000000"/>
                      <w:sz w:val="16"/>
                      <w:lang w:eastAsia="es-PE"/>
                    </w:rPr>
                  </w:pPr>
                  <w:r w:rsidRPr="0039057B">
                    <w:rPr>
                      <w:rFonts w:ascii="Arial" w:eastAsia="Times New Roman" w:hAnsi="Arial"/>
                      <w:b/>
                      <w:bCs/>
                      <w:color w:val="000000"/>
                      <w:sz w:val="16"/>
                      <w:lang w:eastAsia="es-PE"/>
                    </w:rPr>
                    <w:t>Condición N º 1:</w:t>
                  </w:r>
                  <w:r w:rsidRPr="0039057B">
                    <w:rPr>
                      <w:rFonts w:ascii="Arial" w:eastAsia="Times New Roman" w:hAnsi="Arial"/>
                      <w:color w:val="000000"/>
                      <w:sz w:val="16"/>
                      <w:lang w:eastAsia="es-PE"/>
                    </w:rPr>
                    <w:t xml:space="preserve"> La inversión analizada tuvo una intervención integral en la unidad productora.</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3FDE7C68" w14:textId="77777777" w:rsidR="005A23AD" w:rsidRPr="0039057B" w:rsidRDefault="005A23AD" w:rsidP="005A23AD">
                  <w:pPr>
                    <w:spacing w:after="0" w:line="240" w:lineRule="auto"/>
                    <w:jc w:val="center"/>
                    <w:rPr>
                      <w:rFonts w:ascii="Arial" w:eastAsia="Times New Roman" w:hAnsi="Arial"/>
                      <w:color w:val="000000"/>
                      <w:sz w:val="16"/>
                      <w:lang w:eastAsia="es-PE"/>
                    </w:rPr>
                  </w:pPr>
                  <w:r w:rsidRPr="0039057B">
                    <w:rPr>
                      <w:rFonts w:ascii="Arial" w:eastAsia="Times New Roman" w:hAnsi="Arial"/>
                      <w:color w:val="000000"/>
                      <w:sz w:val="16"/>
                      <w:lang w:eastAsia="es-PE"/>
                    </w:rPr>
                    <w:t>Adecuado</w:t>
                  </w:r>
                </w:p>
              </w:tc>
            </w:tr>
            <w:tr w:rsidR="005A23AD" w:rsidRPr="00393CAF" w14:paraId="4E116D57" w14:textId="77777777" w:rsidTr="00362FAA">
              <w:trPr>
                <w:trHeight w:val="419"/>
                <w:jc w:val="center"/>
              </w:trPr>
              <w:tc>
                <w:tcPr>
                  <w:tcW w:w="2012" w:type="dxa"/>
                  <w:vMerge/>
                  <w:tcBorders>
                    <w:top w:val="nil"/>
                    <w:left w:val="single" w:sz="4" w:space="0" w:color="auto"/>
                    <w:bottom w:val="single" w:sz="4" w:space="0" w:color="auto"/>
                    <w:right w:val="single" w:sz="4" w:space="0" w:color="auto"/>
                  </w:tcBorders>
                  <w:vAlign w:val="center"/>
                  <w:hideMark/>
                </w:tcPr>
                <w:p w14:paraId="1806163F" w14:textId="77777777" w:rsidR="005A23AD" w:rsidRPr="0039057B" w:rsidRDefault="005A23AD" w:rsidP="005A23AD">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3C90353F" w14:textId="77777777" w:rsidR="005A23AD" w:rsidRPr="0039057B" w:rsidRDefault="005A23AD" w:rsidP="005A23AD">
                  <w:pPr>
                    <w:spacing w:after="0" w:line="240" w:lineRule="auto"/>
                    <w:jc w:val="both"/>
                    <w:rPr>
                      <w:rFonts w:ascii="Arial" w:eastAsia="Times New Roman" w:hAnsi="Arial"/>
                      <w:color w:val="000000"/>
                      <w:sz w:val="16"/>
                      <w:lang w:eastAsia="es-PE"/>
                    </w:rPr>
                  </w:pPr>
                  <w:r w:rsidRPr="0039057B">
                    <w:rPr>
                      <w:rFonts w:ascii="Arial" w:eastAsia="Times New Roman" w:hAnsi="Arial"/>
                      <w:b/>
                      <w:bCs/>
                      <w:color w:val="000000"/>
                      <w:sz w:val="16"/>
                      <w:lang w:eastAsia="es-PE"/>
                    </w:rPr>
                    <w:t>Condición N º 2:</w:t>
                  </w:r>
                  <w:r w:rsidRPr="0039057B">
                    <w:rPr>
                      <w:rFonts w:ascii="Arial" w:eastAsia="Times New Roman" w:hAnsi="Arial"/>
                      <w:color w:val="000000"/>
                      <w:sz w:val="16"/>
                      <w:lang w:eastAsia="es-PE"/>
                    </w:rPr>
                    <w:t xml:space="preserve"> La inversión analizada es una inversión culminada.</w:t>
                  </w:r>
                </w:p>
              </w:tc>
              <w:tc>
                <w:tcPr>
                  <w:tcW w:w="1880" w:type="dxa"/>
                  <w:vMerge/>
                  <w:tcBorders>
                    <w:top w:val="nil"/>
                    <w:left w:val="single" w:sz="4" w:space="0" w:color="auto"/>
                    <w:bottom w:val="single" w:sz="4" w:space="0" w:color="auto"/>
                    <w:right w:val="single" w:sz="4" w:space="0" w:color="auto"/>
                  </w:tcBorders>
                  <w:vAlign w:val="center"/>
                  <w:hideMark/>
                </w:tcPr>
                <w:p w14:paraId="03577ADF" w14:textId="77777777" w:rsidR="005A23AD" w:rsidRPr="0039057B" w:rsidRDefault="005A23AD" w:rsidP="005A23AD">
                  <w:pPr>
                    <w:spacing w:after="0" w:line="240" w:lineRule="auto"/>
                    <w:rPr>
                      <w:rFonts w:ascii="Arial" w:eastAsia="Times New Roman" w:hAnsi="Arial"/>
                      <w:color w:val="000000"/>
                      <w:sz w:val="16"/>
                      <w:lang w:eastAsia="es-PE"/>
                    </w:rPr>
                  </w:pPr>
                </w:p>
              </w:tc>
            </w:tr>
            <w:tr w:rsidR="005A23AD" w:rsidRPr="00393CAF" w14:paraId="50901A40" w14:textId="77777777" w:rsidTr="00362FAA">
              <w:trPr>
                <w:trHeight w:val="1258"/>
                <w:jc w:val="center"/>
              </w:trPr>
              <w:tc>
                <w:tcPr>
                  <w:tcW w:w="2012" w:type="dxa"/>
                  <w:vMerge/>
                  <w:tcBorders>
                    <w:top w:val="nil"/>
                    <w:left w:val="single" w:sz="4" w:space="0" w:color="auto"/>
                    <w:bottom w:val="single" w:sz="4" w:space="0" w:color="auto"/>
                    <w:right w:val="single" w:sz="4" w:space="0" w:color="auto"/>
                  </w:tcBorders>
                  <w:vAlign w:val="center"/>
                  <w:hideMark/>
                </w:tcPr>
                <w:p w14:paraId="0D9C8284" w14:textId="77777777" w:rsidR="005A23AD" w:rsidRPr="0039057B" w:rsidRDefault="005A23AD" w:rsidP="005A23AD">
                  <w:pPr>
                    <w:spacing w:after="0" w:line="240" w:lineRule="auto"/>
                    <w:rPr>
                      <w:rFonts w:ascii="Arial" w:eastAsia="Times New Roman" w:hAnsi="Arial"/>
                      <w:color w:val="000000"/>
                      <w:sz w:val="16"/>
                      <w:lang w:eastAsia="es-PE"/>
                    </w:rPr>
                  </w:pPr>
                </w:p>
              </w:tc>
              <w:tc>
                <w:tcPr>
                  <w:tcW w:w="4677" w:type="dxa"/>
                  <w:tcBorders>
                    <w:top w:val="nil"/>
                    <w:left w:val="nil"/>
                    <w:bottom w:val="single" w:sz="4" w:space="0" w:color="auto"/>
                    <w:right w:val="single" w:sz="4" w:space="0" w:color="auto"/>
                  </w:tcBorders>
                  <w:shd w:val="clear" w:color="auto" w:fill="auto"/>
                  <w:vAlign w:val="center"/>
                  <w:hideMark/>
                </w:tcPr>
                <w:p w14:paraId="4847C89C" w14:textId="77777777" w:rsidR="005A23AD" w:rsidRPr="0039057B" w:rsidRDefault="005A23AD" w:rsidP="005A23AD">
                  <w:pPr>
                    <w:spacing w:after="0" w:line="240" w:lineRule="auto"/>
                    <w:jc w:val="both"/>
                    <w:rPr>
                      <w:rFonts w:ascii="Arial" w:eastAsia="Times New Roman" w:hAnsi="Arial"/>
                      <w:color w:val="000000"/>
                      <w:sz w:val="16"/>
                      <w:lang w:eastAsia="es-PE"/>
                    </w:rPr>
                  </w:pPr>
                  <w:r w:rsidRPr="0039057B">
                    <w:rPr>
                      <w:rFonts w:ascii="Arial" w:eastAsia="Times New Roman" w:hAnsi="Arial"/>
                      <w:b/>
                      <w:bCs/>
                      <w:color w:val="000000"/>
                      <w:sz w:val="16"/>
                      <w:lang w:eastAsia="es-PE"/>
                    </w:rPr>
                    <w:t>Condición N º 3:</w:t>
                  </w:r>
                  <w:r w:rsidRPr="0039057B">
                    <w:rPr>
                      <w:rFonts w:ascii="Arial" w:eastAsia="Times New Roman" w:hAnsi="Arial"/>
                      <w:color w:val="000000"/>
                      <w:sz w:val="16"/>
                      <w:lang w:eastAsia="es-PE"/>
                    </w:rPr>
                    <w:t xml:space="preserve"> La inversión analizada se encuentra dentro de un periodo de tiempo en la fase de funcionamiento en donde la oferta del servicio aún cumple con los estándares de calidad y niveles de servicio deseado.</w:t>
                  </w:r>
                </w:p>
              </w:tc>
              <w:tc>
                <w:tcPr>
                  <w:tcW w:w="1880" w:type="dxa"/>
                  <w:vMerge/>
                  <w:tcBorders>
                    <w:top w:val="nil"/>
                    <w:left w:val="single" w:sz="4" w:space="0" w:color="auto"/>
                    <w:bottom w:val="single" w:sz="4" w:space="0" w:color="auto"/>
                    <w:right w:val="single" w:sz="4" w:space="0" w:color="auto"/>
                  </w:tcBorders>
                  <w:vAlign w:val="center"/>
                  <w:hideMark/>
                </w:tcPr>
                <w:p w14:paraId="04E7ED87" w14:textId="77777777" w:rsidR="005A23AD" w:rsidRPr="0039057B" w:rsidRDefault="005A23AD" w:rsidP="005A23AD">
                  <w:pPr>
                    <w:spacing w:after="0" w:line="240" w:lineRule="auto"/>
                    <w:rPr>
                      <w:rFonts w:ascii="Arial" w:eastAsia="Times New Roman" w:hAnsi="Arial"/>
                      <w:color w:val="000000"/>
                      <w:sz w:val="16"/>
                      <w:lang w:eastAsia="es-PE"/>
                    </w:rPr>
                  </w:pPr>
                </w:p>
              </w:tc>
            </w:tr>
          </w:tbl>
          <w:p w14:paraId="434BEAA8" w14:textId="77777777" w:rsidR="005A23AD" w:rsidRPr="0039057B" w:rsidRDefault="005A23AD" w:rsidP="005A23AD">
            <w:pPr>
              <w:jc w:val="both"/>
              <w:rPr>
                <w:rFonts w:ascii="Arial" w:hAnsi="Arial"/>
                <w:sz w:val="20"/>
                <w:szCs w:val="20"/>
              </w:rPr>
            </w:pPr>
          </w:p>
          <w:p w14:paraId="52760DF7" w14:textId="77777777" w:rsidR="005A23AD" w:rsidRPr="00EC1795" w:rsidRDefault="005A23AD" w:rsidP="005A23AD">
            <w:pPr>
              <w:pStyle w:val="Prrafodelista"/>
              <w:numPr>
                <w:ilvl w:val="1"/>
                <w:numId w:val="2"/>
              </w:numPr>
              <w:jc w:val="both"/>
              <w:rPr>
                <w:rFonts w:ascii="Arial" w:hAnsi="Arial"/>
                <w:sz w:val="20"/>
                <w:szCs w:val="20"/>
              </w:rPr>
            </w:pPr>
            <w:r w:rsidRPr="004E55F9">
              <w:rPr>
                <w:rFonts w:ascii="Arial" w:hAnsi="Arial" w:cs="Arial"/>
                <w:sz w:val="20"/>
                <w:szCs w:val="20"/>
              </w:rPr>
              <w:t xml:space="preserve">Según </w:t>
            </w:r>
            <w:r>
              <w:rPr>
                <w:rFonts w:ascii="Arial" w:hAnsi="Arial" w:cs="Arial"/>
                <w:sz w:val="20"/>
                <w:szCs w:val="20"/>
              </w:rPr>
              <w:t>la base de datos de monitoreo d</w:t>
            </w:r>
            <w:r w:rsidRPr="004E55F9">
              <w:rPr>
                <w:rFonts w:ascii="Arial" w:hAnsi="Arial" w:cs="Arial"/>
                <w:sz w:val="20"/>
                <w:szCs w:val="20"/>
              </w:rPr>
              <w:t>el Plan Nacional de I</w:t>
            </w:r>
            <w:r>
              <w:rPr>
                <w:rFonts w:ascii="Arial" w:hAnsi="Arial" w:cs="Arial"/>
                <w:sz w:val="20"/>
                <w:szCs w:val="20"/>
              </w:rPr>
              <w:t>nfraestructura Educativa (PNIE)</w:t>
            </w:r>
          </w:p>
          <w:p w14:paraId="16029BE4" w14:textId="77777777" w:rsidR="005A23AD" w:rsidRDefault="005A23AD" w:rsidP="005A23AD">
            <w:pPr>
              <w:pStyle w:val="Prrafodelista"/>
              <w:ind w:left="1440"/>
              <w:jc w:val="both"/>
              <w:rPr>
                <w:rFonts w:ascii="Arial" w:hAnsi="Arial" w:cs="Arial"/>
                <w:sz w:val="20"/>
                <w:szCs w:val="20"/>
              </w:rPr>
            </w:pPr>
          </w:p>
          <w:p w14:paraId="7D234786" w14:textId="77777777" w:rsidR="005A23AD" w:rsidRPr="00993ABF" w:rsidRDefault="005A23AD" w:rsidP="005A23AD">
            <w:pPr>
              <w:jc w:val="both"/>
              <w:rPr>
                <w:rFonts w:ascii="Arial" w:hAnsi="Arial"/>
                <w:sz w:val="20"/>
                <w:szCs w:val="20"/>
              </w:rPr>
            </w:pPr>
          </w:p>
          <w:tbl>
            <w:tblPr>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374"/>
              <w:gridCol w:w="2430"/>
            </w:tblGrid>
            <w:tr w:rsidR="005A23AD" w:rsidRPr="00A646D4" w14:paraId="44E1B518" w14:textId="77777777" w:rsidTr="000231F2">
              <w:trPr>
                <w:trHeight w:val="283"/>
                <w:jc w:val="center"/>
              </w:trPr>
              <w:tc>
                <w:tcPr>
                  <w:tcW w:w="5127" w:type="dxa"/>
                  <w:shd w:val="clear" w:color="000000" w:fill="BFBFBF"/>
                  <w:vAlign w:val="center"/>
                  <w:hideMark/>
                </w:tcPr>
                <w:p w14:paraId="4D7BEDBE" w14:textId="77777777" w:rsidR="005A23AD" w:rsidRPr="00A646D4" w:rsidRDefault="005A23AD" w:rsidP="005A23AD">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Diagnóstico o tipo de Intervención por Local educativo</w:t>
                  </w:r>
                  <w:r>
                    <w:rPr>
                      <w:rFonts w:ascii="Arial" w:eastAsia="Times New Roman" w:hAnsi="Arial"/>
                      <w:b/>
                      <w:bCs/>
                      <w:sz w:val="16"/>
                      <w:szCs w:val="20"/>
                      <w:lang w:eastAsia="es-PE"/>
                    </w:rPr>
                    <w:t xml:space="preserve"> o unidad productora </w:t>
                  </w:r>
                  <w:r w:rsidRPr="00A646D4">
                    <w:rPr>
                      <w:rFonts w:ascii="Arial" w:eastAsia="Times New Roman" w:hAnsi="Arial"/>
                      <w:b/>
                      <w:bCs/>
                      <w:sz w:val="16"/>
                      <w:szCs w:val="20"/>
                      <w:lang w:eastAsia="es-PE"/>
                    </w:rPr>
                    <w:t>según el PNIE</w:t>
                  </w:r>
                </w:p>
              </w:tc>
              <w:tc>
                <w:tcPr>
                  <w:tcW w:w="2835" w:type="dxa"/>
                  <w:shd w:val="clear" w:color="000000" w:fill="BFBFBF"/>
                  <w:vAlign w:val="center"/>
                  <w:hideMark/>
                </w:tcPr>
                <w:p w14:paraId="265C7ADA" w14:textId="77777777" w:rsidR="005A23AD" w:rsidRPr="00A646D4" w:rsidRDefault="005A23AD" w:rsidP="005A23AD">
                  <w:pPr>
                    <w:spacing w:after="0" w:line="240" w:lineRule="auto"/>
                    <w:contextualSpacing/>
                    <w:jc w:val="center"/>
                    <w:rPr>
                      <w:rFonts w:ascii="Arial" w:eastAsia="Times New Roman" w:hAnsi="Arial"/>
                      <w:b/>
                      <w:bCs/>
                      <w:sz w:val="16"/>
                      <w:szCs w:val="20"/>
                      <w:lang w:eastAsia="es-PE"/>
                    </w:rPr>
                  </w:pPr>
                  <w:r w:rsidRPr="00A646D4">
                    <w:rPr>
                      <w:rFonts w:ascii="Arial" w:eastAsia="Times New Roman" w:hAnsi="Arial"/>
                      <w:b/>
                      <w:bCs/>
                      <w:sz w:val="16"/>
                      <w:szCs w:val="20"/>
                      <w:lang w:eastAsia="es-PE"/>
                    </w:rPr>
                    <w:t>Estado del local educativo</w:t>
                  </w:r>
                  <w:r>
                    <w:rPr>
                      <w:rFonts w:ascii="Arial" w:eastAsia="Times New Roman" w:hAnsi="Arial"/>
                      <w:b/>
                      <w:bCs/>
                      <w:sz w:val="16"/>
                      <w:szCs w:val="20"/>
                      <w:lang w:eastAsia="es-PE"/>
                    </w:rPr>
                    <w:t xml:space="preserve"> o unidad productora</w:t>
                  </w:r>
                </w:p>
              </w:tc>
            </w:tr>
            <w:tr w:rsidR="005A23AD" w:rsidRPr="00A646D4" w14:paraId="70F68AEC" w14:textId="77777777" w:rsidTr="000231F2">
              <w:trPr>
                <w:trHeight w:val="283"/>
                <w:jc w:val="center"/>
              </w:trPr>
              <w:tc>
                <w:tcPr>
                  <w:tcW w:w="5127" w:type="dxa"/>
                  <w:shd w:val="clear" w:color="auto" w:fill="auto"/>
                  <w:noWrap/>
                  <w:vAlign w:val="center"/>
                  <w:hideMark/>
                </w:tcPr>
                <w:p w14:paraId="21ED2087" w14:textId="77777777" w:rsidR="005A23AD" w:rsidRPr="00A646D4" w:rsidRDefault="005A23AD" w:rsidP="005A23AD">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Sustitución:</w:t>
                  </w:r>
                  <w:r w:rsidRPr="00A646D4">
                    <w:rPr>
                      <w:rFonts w:ascii="Arial" w:eastAsia="Times New Roman" w:hAnsi="Arial"/>
                      <w:sz w:val="16"/>
                      <w:szCs w:val="20"/>
                      <w:lang w:eastAsia="es-PE"/>
                    </w:rPr>
                    <w:t xml:space="preserve"> Demolición y reconstrucción total o parcial de edificaciones con alto riesgo de colapso.</w:t>
                  </w:r>
                </w:p>
              </w:tc>
              <w:tc>
                <w:tcPr>
                  <w:tcW w:w="2835" w:type="dxa"/>
                  <w:vMerge w:val="restart"/>
                  <w:shd w:val="clear" w:color="auto" w:fill="auto"/>
                  <w:vAlign w:val="center"/>
                  <w:hideMark/>
                </w:tcPr>
                <w:p w14:paraId="2105A779" w14:textId="77777777" w:rsidR="005A23AD" w:rsidRPr="00A646D4" w:rsidRDefault="005A23AD" w:rsidP="005A23AD">
                  <w:pPr>
                    <w:spacing w:after="0" w:line="240" w:lineRule="auto"/>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Inadecuada</w:t>
                  </w:r>
                </w:p>
              </w:tc>
            </w:tr>
            <w:tr w:rsidR="005A23AD" w:rsidRPr="00A646D4" w14:paraId="7C9311E5" w14:textId="77777777" w:rsidTr="000231F2">
              <w:trPr>
                <w:trHeight w:val="283"/>
                <w:jc w:val="center"/>
              </w:trPr>
              <w:tc>
                <w:tcPr>
                  <w:tcW w:w="5127" w:type="dxa"/>
                  <w:shd w:val="clear" w:color="auto" w:fill="auto"/>
                  <w:noWrap/>
                  <w:vAlign w:val="center"/>
                </w:tcPr>
                <w:p w14:paraId="3D3C61E4" w14:textId="77777777" w:rsidR="005A23AD" w:rsidRPr="00A646D4" w:rsidRDefault="005A23AD" w:rsidP="005A23AD">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Reforzamiento Estructural:</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de</w:t>
                  </w:r>
                  <w:r w:rsidRPr="00A646D4">
                    <w:rPr>
                      <w:rFonts w:ascii="Arial" w:eastAsia="Times New Roman" w:hAnsi="Arial"/>
                      <w:sz w:val="16"/>
                      <w:szCs w:val="20"/>
                      <w:lang w:eastAsia="es-PE"/>
                    </w:rPr>
                    <w:t xml:space="preserve"> reforzamiento incremental y/o convencional de edificaciones orientada a corregir posibles defectos estructurales y dotar a la estructura de una combinación adecuada de rigidez, resistencia, y ductilidad.</w:t>
                  </w:r>
                </w:p>
              </w:tc>
              <w:tc>
                <w:tcPr>
                  <w:tcW w:w="2835" w:type="dxa"/>
                  <w:vMerge/>
                  <w:vAlign w:val="center"/>
                </w:tcPr>
                <w:p w14:paraId="50843FDE" w14:textId="77777777" w:rsidR="005A23AD" w:rsidRPr="00A646D4" w:rsidRDefault="005A23AD" w:rsidP="005A23AD">
                  <w:pPr>
                    <w:spacing w:after="0" w:line="240" w:lineRule="auto"/>
                    <w:contextualSpacing/>
                    <w:jc w:val="center"/>
                    <w:rPr>
                      <w:rFonts w:ascii="Arial" w:eastAsia="Times New Roman" w:hAnsi="Arial"/>
                      <w:sz w:val="16"/>
                      <w:szCs w:val="20"/>
                      <w:lang w:eastAsia="es-PE"/>
                    </w:rPr>
                  </w:pPr>
                </w:p>
              </w:tc>
            </w:tr>
            <w:tr w:rsidR="005A23AD" w:rsidRPr="00A646D4" w14:paraId="06886752" w14:textId="77777777" w:rsidTr="000231F2">
              <w:trPr>
                <w:trHeight w:val="283"/>
                <w:jc w:val="center"/>
              </w:trPr>
              <w:tc>
                <w:tcPr>
                  <w:tcW w:w="5127" w:type="dxa"/>
                  <w:shd w:val="clear" w:color="auto" w:fill="auto"/>
                  <w:noWrap/>
                  <w:vAlign w:val="center"/>
                </w:tcPr>
                <w:p w14:paraId="31226DC3" w14:textId="77777777" w:rsidR="005A23AD" w:rsidRPr="00A646D4" w:rsidRDefault="005A23AD" w:rsidP="005A23AD">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Intervención Contingente:</w:t>
                  </w:r>
                  <w:r w:rsidRPr="00A646D4">
                    <w:rPr>
                      <w:rFonts w:ascii="Arial" w:eastAsia="Times New Roman" w:hAnsi="Arial"/>
                      <w:sz w:val="16"/>
                      <w:szCs w:val="20"/>
                      <w:lang w:eastAsia="es-PE"/>
                    </w:rPr>
                    <w:t xml:space="preserve"> Intervención sobre los componentes o elementos no estructurales de las edificaciones ante la posibilidad de un colapso.</w:t>
                  </w:r>
                </w:p>
              </w:tc>
              <w:tc>
                <w:tcPr>
                  <w:tcW w:w="2835" w:type="dxa"/>
                  <w:vMerge/>
                  <w:vAlign w:val="center"/>
                </w:tcPr>
                <w:p w14:paraId="10D99727" w14:textId="77777777" w:rsidR="005A23AD" w:rsidRPr="00A646D4" w:rsidRDefault="005A23AD" w:rsidP="005A23AD">
                  <w:pPr>
                    <w:spacing w:after="0" w:line="240" w:lineRule="auto"/>
                    <w:contextualSpacing/>
                    <w:jc w:val="center"/>
                    <w:rPr>
                      <w:rFonts w:ascii="Arial" w:eastAsia="Times New Roman" w:hAnsi="Arial"/>
                      <w:sz w:val="16"/>
                      <w:szCs w:val="20"/>
                      <w:lang w:eastAsia="es-PE"/>
                    </w:rPr>
                  </w:pPr>
                </w:p>
              </w:tc>
            </w:tr>
            <w:tr w:rsidR="005A23AD" w:rsidRPr="00A646D4" w14:paraId="7AB5F6A5" w14:textId="77777777" w:rsidTr="000231F2">
              <w:trPr>
                <w:trHeight w:val="283"/>
                <w:jc w:val="center"/>
              </w:trPr>
              <w:tc>
                <w:tcPr>
                  <w:tcW w:w="5127" w:type="dxa"/>
                  <w:shd w:val="clear" w:color="auto" w:fill="auto"/>
                  <w:noWrap/>
                  <w:vAlign w:val="center"/>
                </w:tcPr>
                <w:p w14:paraId="39F07873" w14:textId="77777777" w:rsidR="005A23AD" w:rsidRPr="00A646D4" w:rsidRDefault="005A23AD" w:rsidP="005A23AD">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Ampliaciones:</w:t>
                  </w:r>
                  <w:r w:rsidRPr="00A646D4">
                    <w:rPr>
                      <w:sz w:val="18"/>
                      <w:szCs w:val="18"/>
                    </w:rPr>
                    <w:t xml:space="preserve"> </w:t>
                  </w:r>
                  <w:r w:rsidRPr="00A646D4">
                    <w:rPr>
                      <w:rFonts w:ascii="Arial" w:eastAsia="Times New Roman" w:hAnsi="Arial"/>
                      <w:sz w:val="16"/>
                      <w:szCs w:val="20"/>
                      <w:lang w:eastAsia="es-PE"/>
                    </w:rPr>
                    <w:t>En el caso del PNIE, para determinar si el local educativo requiere ampliación, se analizó si el área techada total es suficiente para atender la demanda actual de estudiantes y la proyectada al 2025, sin considerar si el terreno del local tiene espacio para ser ampliado.</w:t>
                  </w:r>
                </w:p>
              </w:tc>
              <w:tc>
                <w:tcPr>
                  <w:tcW w:w="2835" w:type="dxa"/>
                  <w:vMerge/>
                  <w:vAlign w:val="center"/>
                </w:tcPr>
                <w:p w14:paraId="5949AE70" w14:textId="77777777" w:rsidR="005A23AD" w:rsidRPr="00A646D4" w:rsidRDefault="005A23AD" w:rsidP="005A23AD">
                  <w:pPr>
                    <w:spacing w:after="0" w:line="240" w:lineRule="auto"/>
                    <w:contextualSpacing/>
                    <w:jc w:val="center"/>
                    <w:rPr>
                      <w:rFonts w:ascii="Arial" w:eastAsia="Times New Roman" w:hAnsi="Arial"/>
                      <w:sz w:val="16"/>
                      <w:szCs w:val="20"/>
                      <w:lang w:eastAsia="es-PE"/>
                    </w:rPr>
                  </w:pPr>
                </w:p>
              </w:tc>
            </w:tr>
            <w:tr w:rsidR="005A23AD" w:rsidRPr="00A646D4" w14:paraId="45FEDFC0" w14:textId="77777777" w:rsidTr="000231F2">
              <w:trPr>
                <w:trHeight w:val="283"/>
                <w:jc w:val="center"/>
              </w:trPr>
              <w:tc>
                <w:tcPr>
                  <w:tcW w:w="5127" w:type="dxa"/>
                  <w:shd w:val="clear" w:color="auto" w:fill="auto"/>
                  <w:noWrap/>
                  <w:vAlign w:val="center"/>
                  <w:hideMark/>
                </w:tcPr>
                <w:p w14:paraId="31C410BA" w14:textId="77777777" w:rsidR="005A23AD" w:rsidRPr="00A646D4" w:rsidRDefault="005A23AD" w:rsidP="005A23AD">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Acceso y Calidad a Servicios Básicos (luz, agua, desagüe):</w:t>
                  </w:r>
                  <w:r w:rsidRPr="00A646D4">
                    <w:rPr>
                      <w:rFonts w:ascii="Arial" w:eastAsia="Times New Roman" w:hAnsi="Arial"/>
                      <w:sz w:val="16"/>
                      <w:szCs w:val="20"/>
                      <w:lang w:eastAsia="es-PE"/>
                    </w:rPr>
                    <w:t xml:space="preserve"> </w:t>
                  </w:r>
                  <w:r>
                    <w:rPr>
                      <w:rFonts w:ascii="Arial" w:eastAsia="Times New Roman" w:hAnsi="Arial"/>
                      <w:sz w:val="16"/>
                      <w:szCs w:val="20"/>
                      <w:lang w:eastAsia="es-PE"/>
                    </w:rPr>
                    <w:t xml:space="preserve">Comprende el requerimiento de </w:t>
                  </w:r>
                  <w:r w:rsidRPr="00A646D4">
                    <w:rPr>
                      <w:rFonts w:ascii="Arial" w:eastAsia="Times New Roman" w:hAnsi="Arial"/>
                      <w:sz w:val="16"/>
                      <w:szCs w:val="20"/>
                      <w:lang w:eastAsia="es-PE"/>
                    </w:rPr>
                    <w:t>sistema</w:t>
                  </w:r>
                  <w:r>
                    <w:rPr>
                      <w:rFonts w:ascii="Arial" w:eastAsia="Times New Roman" w:hAnsi="Arial"/>
                      <w:sz w:val="16"/>
                      <w:szCs w:val="20"/>
                      <w:lang w:eastAsia="es-PE"/>
                    </w:rPr>
                    <w:t>s</w:t>
                  </w:r>
                  <w:r w:rsidRPr="00A646D4">
                    <w:rPr>
                      <w:rFonts w:ascii="Arial" w:eastAsia="Times New Roman" w:hAnsi="Arial"/>
                      <w:sz w:val="16"/>
                      <w:szCs w:val="20"/>
                      <w:lang w:eastAsia="es-PE"/>
                    </w:rPr>
                    <w:t xml:space="preserve"> de almacenamiento e impulsión de agua, servicios higiénicos, bebederos y la red de drenaje pluvial, si a saneamiento se refiere, así como la mejora de componentes como cableados, tableros, gabinetes, interruptores y puesta a tierra, en cuanto a servicio de electricidad.</w:t>
                  </w:r>
                </w:p>
              </w:tc>
              <w:tc>
                <w:tcPr>
                  <w:tcW w:w="2835" w:type="dxa"/>
                  <w:vMerge/>
                  <w:vAlign w:val="center"/>
                  <w:hideMark/>
                </w:tcPr>
                <w:p w14:paraId="49C281EB" w14:textId="77777777" w:rsidR="005A23AD" w:rsidRPr="00A646D4" w:rsidRDefault="005A23AD" w:rsidP="005A23AD">
                  <w:pPr>
                    <w:spacing w:after="0" w:line="240" w:lineRule="auto"/>
                    <w:contextualSpacing/>
                    <w:jc w:val="center"/>
                    <w:rPr>
                      <w:rFonts w:ascii="Arial" w:eastAsia="Times New Roman" w:hAnsi="Arial"/>
                      <w:sz w:val="16"/>
                      <w:szCs w:val="20"/>
                      <w:lang w:eastAsia="es-PE"/>
                    </w:rPr>
                  </w:pPr>
                </w:p>
              </w:tc>
            </w:tr>
            <w:tr w:rsidR="005A23AD" w:rsidRPr="00A646D4" w14:paraId="403B9B85" w14:textId="77777777" w:rsidTr="000231F2">
              <w:trPr>
                <w:trHeight w:val="283"/>
                <w:jc w:val="center"/>
              </w:trPr>
              <w:tc>
                <w:tcPr>
                  <w:tcW w:w="5127" w:type="dxa"/>
                  <w:shd w:val="clear" w:color="auto" w:fill="auto"/>
                  <w:noWrap/>
                  <w:vAlign w:val="center"/>
                  <w:hideMark/>
                </w:tcPr>
                <w:p w14:paraId="5DDA983F" w14:textId="77777777" w:rsidR="005A23AD" w:rsidRPr="00A646D4" w:rsidRDefault="005A23AD" w:rsidP="005A23AD">
                  <w:pPr>
                    <w:spacing w:after="0" w:line="240" w:lineRule="auto"/>
                    <w:contextualSpacing/>
                    <w:jc w:val="both"/>
                    <w:rPr>
                      <w:rFonts w:ascii="Arial" w:eastAsia="Times New Roman" w:hAnsi="Arial"/>
                      <w:sz w:val="16"/>
                      <w:szCs w:val="20"/>
                      <w:lang w:eastAsia="es-PE"/>
                    </w:rPr>
                  </w:pPr>
                  <w:r w:rsidRPr="00A646D4">
                    <w:rPr>
                      <w:rFonts w:ascii="Arial" w:eastAsia="Times New Roman" w:hAnsi="Arial"/>
                      <w:b/>
                      <w:sz w:val="16"/>
                      <w:szCs w:val="20"/>
                      <w:lang w:eastAsia="es-PE"/>
                    </w:rPr>
                    <w:t>Requerimiento de Mobiliario y Equipamiento:</w:t>
                  </w:r>
                  <w:r w:rsidRPr="00A646D4">
                    <w:rPr>
                      <w:rFonts w:ascii="Arial" w:eastAsia="Times New Roman" w:hAnsi="Arial"/>
                      <w:sz w:val="16"/>
                      <w:szCs w:val="20"/>
                      <w:lang w:eastAsia="es-PE"/>
                    </w:rPr>
                    <w:t xml:space="preserve"> Por mobiliario se entiende a todos los objetos que sirven para facilitar la operación del local educativo y los ambientes pedagógicos (sillas, mesas, carpetas) que requiere un estudiante para desarrollar actividades educativas en un ambiente pedagógico determinado. Por su parte, equipamiento comprende equipos y muebles que en su conjunto impulsan el desarrollo pedagógico.</w:t>
                  </w:r>
                </w:p>
              </w:tc>
              <w:tc>
                <w:tcPr>
                  <w:tcW w:w="2835" w:type="dxa"/>
                  <w:vMerge/>
                  <w:shd w:val="clear" w:color="auto" w:fill="auto"/>
                  <w:vAlign w:val="center"/>
                  <w:hideMark/>
                </w:tcPr>
                <w:p w14:paraId="260F9E60" w14:textId="77777777" w:rsidR="005A23AD" w:rsidRPr="00A646D4" w:rsidRDefault="005A23AD" w:rsidP="005A23AD">
                  <w:pPr>
                    <w:spacing w:after="0" w:line="240" w:lineRule="auto"/>
                    <w:contextualSpacing/>
                    <w:jc w:val="center"/>
                    <w:rPr>
                      <w:rFonts w:ascii="Arial" w:eastAsia="Times New Roman" w:hAnsi="Arial"/>
                      <w:sz w:val="16"/>
                      <w:szCs w:val="20"/>
                      <w:lang w:eastAsia="es-PE"/>
                    </w:rPr>
                  </w:pPr>
                </w:p>
              </w:tc>
            </w:tr>
            <w:tr w:rsidR="005A23AD" w:rsidRPr="00A646D4" w14:paraId="22AD4DB6" w14:textId="77777777" w:rsidTr="000231F2">
              <w:trPr>
                <w:trHeight w:val="283"/>
                <w:jc w:val="center"/>
              </w:trPr>
              <w:tc>
                <w:tcPr>
                  <w:tcW w:w="5127" w:type="dxa"/>
                  <w:shd w:val="clear" w:color="auto" w:fill="auto"/>
                  <w:noWrap/>
                  <w:vAlign w:val="center"/>
                </w:tcPr>
                <w:p w14:paraId="49CA2491" w14:textId="77777777" w:rsidR="005A23AD" w:rsidRPr="00A646D4" w:rsidRDefault="005A23AD" w:rsidP="005A23AD">
                  <w:pPr>
                    <w:spacing w:after="0" w:line="240" w:lineRule="auto"/>
                    <w:contextualSpacing/>
                    <w:rPr>
                      <w:rFonts w:ascii="Arial" w:eastAsia="Times New Roman" w:hAnsi="Arial"/>
                      <w:sz w:val="16"/>
                      <w:szCs w:val="20"/>
                      <w:lang w:eastAsia="es-PE"/>
                    </w:rPr>
                  </w:pPr>
                  <w:r w:rsidRPr="00A646D4">
                    <w:rPr>
                      <w:rFonts w:ascii="Arial" w:eastAsia="Times New Roman" w:hAnsi="Arial"/>
                      <w:b/>
                      <w:sz w:val="16"/>
                      <w:szCs w:val="20"/>
                      <w:lang w:eastAsia="es-PE"/>
                    </w:rPr>
                    <w:t>Requerimiento de accesibilidad para personas con discapacidad:</w:t>
                  </w:r>
                  <w:r w:rsidRPr="00A646D4">
                    <w:rPr>
                      <w:rFonts w:ascii="Arial" w:eastAsia="Times New Roman" w:hAnsi="Arial"/>
                      <w:sz w:val="16"/>
                      <w:szCs w:val="20"/>
                      <w:lang w:eastAsia="es-PE"/>
                    </w:rPr>
                    <w:t xml:space="preserve"> </w:t>
                  </w:r>
                  <w:r>
                    <w:rPr>
                      <w:rFonts w:ascii="Arial" w:eastAsia="Times New Roman" w:hAnsi="Arial"/>
                      <w:sz w:val="16"/>
                      <w:szCs w:val="20"/>
                      <w:lang w:eastAsia="es-PE"/>
                    </w:rPr>
                    <w:t>intervención que requiere i</w:t>
                  </w:r>
                  <w:r w:rsidRPr="00A646D4">
                    <w:rPr>
                      <w:rFonts w:ascii="Arial" w:eastAsia="Times New Roman" w:hAnsi="Arial"/>
                      <w:sz w:val="16"/>
                      <w:szCs w:val="20"/>
                      <w:lang w:eastAsia="es-PE"/>
                    </w:rPr>
                    <w:t>nodoros y rampas o elevadores, así como</w:t>
                  </w:r>
                  <w:r w:rsidRPr="00A646D4">
                    <w:t xml:space="preserve"> </w:t>
                  </w:r>
                  <w:r w:rsidRPr="00A646D4">
                    <w:rPr>
                      <w:rFonts w:ascii="Arial" w:eastAsia="Times New Roman" w:hAnsi="Arial"/>
                      <w:sz w:val="16"/>
                      <w:szCs w:val="20"/>
                      <w:lang w:eastAsia="es-PE"/>
                    </w:rPr>
                    <w:t>adecuada señalización.</w:t>
                  </w:r>
                </w:p>
              </w:tc>
              <w:tc>
                <w:tcPr>
                  <w:tcW w:w="2835" w:type="dxa"/>
                  <w:vMerge/>
                  <w:shd w:val="clear" w:color="auto" w:fill="auto"/>
                  <w:vAlign w:val="center"/>
                </w:tcPr>
                <w:p w14:paraId="6AE9B40D" w14:textId="77777777" w:rsidR="005A23AD" w:rsidRPr="00A646D4" w:rsidRDefault="005A23AD" w:rsidP="005A23AD">
                  <w:pPr>
                    <w:spacing w:after="0" w:line="240" w:lineRule="auto"/>
                    <w:contextualSpacing/>
                    <w:jc w:val="center"/>
                    <w:rPr>
                      <w:rFonts w:ascii="Arial" w:eastAsia="Times New Roman" w:hAnsi="Arial"/>
                      <w:sz w:val="16"/>
                      <w:szCs w:val="20"/>
                      <w:lang w:eastAsia="es-PE"/>
                    </w:rPr>
                  </w:pPr>
                </w:p>
              </w:tc>
            </w:tr>
            <w:tr w:rsidR="005A23AD" w:rsidRPr="00A646D4" w14:paraId="1B258D71" w14:textId="77777777" w:rsidTr="000231F2">
              <w:trPr>
                <w:trHeight w:val="283"/>
                <w:jc w:val="center"/>
              </w:trPr>
              <w:tc>
                <w:tcPr>
                  <w:tcW w:w="5127" w:type="dxa"/>
                  <w:shd w:val="clear" w:color="auto" w:fill="auto"/>
                  <w:noWrap/>
                  <w:vAlign w:val="center"/>
                  <w:hideMark/>
                </w:tcPr>
                <w:p w14:paraId="6D8B03AD" w14:textId="77777777" w:rsidR="005A23AD" w:rsidRPr="00A646D4" w:rsidRDefault="005A23AD" w:rsidP="005A23AD">
                  <w:pPr>
                    <w:spacing w:after="0" w:line="240" w:lineRule="auto"/>
                    <w:contextualSpacing/>
                    <w:rPr>
                      <w:rFonts w:ascii="Arial" w:eastAsia="Times New Roman" w:hAnsi="Arial"/>
                      <w:sz w:val="16"/>
                      <w:szCs w:val="16"/>
                      <w:lang w:eastAsia="es-PE"/>
                    </w:rPr>
                  </w:pPr>
                  <w:r w:rsidRPr="00A646D4">
                    <w:rPr>
                      <w:rFonts w:ascii="Arial" w:eastAsia="Times New Roman" w:hAnsi="Arial"/>
                      <w:b/>
                      <w:sz w:val="16"/>
                      <w:szCs w:val="16"/>
                      <w:lang w:eastAsia="es-PE"/>
                    </w:rPr>
                    <w:t>Sin Intervención</w:t>
                  </w:r>
                  <w:r w:rsidRPr="00A646D4">
                    <w:rPr>
                      <w:rFonts w:ascii="Arial" w:eastAsia="Times New Roman" w:hAnsi="Arial"/>
                      <w:sz w:val="16"/>
                      <w:szCs w:val="16"/>
                      <w:lang w:eastAsia="es-PE"/>
                    </w:rPr>
                    <w:t>: No requiere intervención alguna.</w:t>
                  </w:r>
                </w:p>
              </w:tc>
              <w:tc>
                <w:tcPr>
                  <w:tcW w:w="2835" w:type="dxa"/>
                  <w:vMerge w:val="restart"/>
                  <w:shd w:val="clear" w:color="auto" w:fill="auto"/>
                  <w:vAlign w:val="center"/>
                  <w:hideMark/>
                </w:tcPr>
                <w:p w14:paraId="0918E568" w14:textId="77777777" w:rsidR="005A23AD" w:rsidRPr="00A646D4" w:rsidRDefault="005A23AD" w:rsidP="005A23AD">
                  <w:pPr>
                    <w:spacing w:after="0" w:line="240" w:lineRule="auto"/>
                    <w:contextualSpacing/>
                    <w:jc w:val="center"/>
                    <w:rPr>
                      <w:rFonts w:ascii="Arial" w:eastAsia="Times New Roman" w:hAnsi="Arial"/>
                      <w:sz w:val="16"/>
                      <w:szCs w:val="20"/>
                      <w:lang w:eastAsia="es-PE"/>
                    </w:rPr>
                  </w:pPr>
                  <w:r w:rsidRPr="00A646D4">
                    <w:rPr>
                      <w:rFonts w:ascii="Arial" w:eastAsia="Times New Roman" w:hAnsi="Arial"/>
                      <w:sz w:val="16"/>
                      <w:szCs w:val="20"/>
                      <w:lang w:eastAsia="es-PE"/>
                    </w:rPr>
                    <w:t>Adecuada</w:t>
                  </w:r>
                </w:p>
              </w:tc>
            </w:tr>
            <w:tr w:rsidR="005A23AD" w:rsidRPr="00A646D4" w14:paraId="4E2262CC" w14:textId="77777777" w:rsidTr="000231F2">
              <w:trPr>
                <w:trHeight w:val="283"/>
                <w:jc w:val="center"/>
              </w:trPr>
              <w:tc>
                <w:tcPr>
                  <w:tcW w:w="5127" w:type="dxa"/>
                  <w:shd w:val="clear" w:color="auto" w:fill="auto"/>
                  <w:noWrap/>
                  <w:vAlign w:val="center"/>
                </w:tcPr>
                <w:p w14:paraId="0AAFE68B" w14:textId="77777777" w:rsidR="005A23AD" w:rsidRPr="00A646D4" w:rsidRDefault="005A23AD" w:rsidP="005A23AD">
                  <w:pPr>
                    <w:spacing w:after="0" w:line="240" w:lineRule="auto"/>
                    <w:contextualSpacing/>
                    <w:jc w:val="both"/>
                    <w:rPr>
                      <w:rFonts w:ascii="Arial" w:eastAsia="Times New Roman" w:hAnsi="Arial"/>
                      <w:sz w:val="16"/>
                      <w:szCs w:val="16"/>
                      <w:lang w:eastAsia="es-PE"/>
                    </w:rPr>
                  </w:pPr>
                  <w:r w:rsidRPr="00A646D4">
                    <w:rPr>
                      <w:rFonts w:ascii="Arial" w:eastAsia="Times New Roman" w:hAnsi="Arial"/>
                      <w:b/>
                      <w:sz w:val="16"/>
                      <w:szCs w:val="16"/>
                      <w:lang w:eastAsia="es-PE"/>
                    </w:rPr>
                    <w:lastRenderedPageBreak/>
                    <w:t>Local educativo</w:t>
                  </w:r>
                  <w:r>
                    <w:rPr>
                      <w:rFonts w:ascii="Arial" w:eastAsia="Times New Roman" w:hAnsi="Arial"/>
                      <w:b/>
                      <w:sz w:val="16"/>
                      <w:szCs w:val="16"/>
                      <w:lang w:eastAsia="es-PE"/>
                    </w:rPr>
                    <w:t xml:space="preserve"> o unidad productora</w:t>
                  </w:r>
                  <w:r w:rsidRPr="00A646D4">
                    <w:rPr>
                      <w:rFonts w:ascii="Arial" w:eastAsia="Times New Roman" w:hAnsi="Arial"/>
                      <w:b/>
                      <w:sz w:val="16"/>
                      <w:szCs w:val="16"/>
                      <w:lang w:eastAsia="es-PE"/>
                    </w:rPr>
                    <w:t xml:space="preserve"> intervenido mediante un proyecto de inversión pública de infraestructura educativa:</w:t>
                  </w:r>
                  <w:r w:rsidRPr="00A646D4">
                    <w:rPr>
                      <w:rFonts w:ascii="Arial" w:eastAsia="Times New Roman" w:hAnsi="Arial"/>
                      <w:sz w:val="16"/>
                      <w:szCs w:val="16"/>
                      <w:lang w:eastAsia="es-PE"/>
                    </w:rPr>
                    <w:t xml:space="preserve"> Cuando se ha</w:t>
                  </w:r>
                  <w:r>
                    <w:rPr>
                      <w:rFonts w:ascii="Arial" w:eastAsia="Times New Roman" w:hAnsi="Arial"/>
                      <w:sz w:val="16"/>
                      <w:szCs w:val="16"/>
                      <w:lang w:eastAsia="es-PE"/>
                    </w:rPr>
                    <w:t>n</w:t>
                  </w:r>
                  <w:r w:rsidRPr="00A646D4">
                    <w:rPr>
                      <w:rFonts w:ascii="Arial" w:eastAsia="Times New Roman" w:hAnsi="Arial"/>
                      <w:sz w:val="16"/>
                      <w:szCs w:val="16"/>
                      <w:lang w:eastAsia="es-PE"/>
                    </w:rPr>
                    <w:t xml:space="preserve"> completado las intervenciones </w:t>
                  </w:r>
                  <w:r>
                    <w:rPr>
                      <w:rFonts w:ascii="Arial" w:eastAsia="Times New Roman" w:hAnsi="Arial"/>
                      <w:sz w:val="16"/>
                      <w:szCs w:val="16"/>
                      <w:lang w:eastAsia="es-PE"/>
                    </w:rPr>
                    <w:t xml:space="preserve">mediante inversión </w:t>
                  </w:r>
                  <w:r w:rsidRPr="00A646D4">
                    <w:rPr>
                      <w:rFonts w:ascii="Arial" w:eastAsia="Times New Roman" w:hAnsi="Arial"/>
                      <w:sz w:val="16"/>
                      <w:szCs w:val="16"/>
                      <w:lang w:eastAsia="es-PE"/>
                    </w:rPr>
                    <w:t xml:space="preserve">que calificaban al local </w:t>
                  </w:r>
                  <w:r>
                    <w:rPr>
                      <w:rFonts w:ascii="Arial" w:eastAsia="Times New Roman" w:hAnsi="Arial"/>
                      <w:sz w:val="16"/>
                      <w:szCs w:val="16"/>
                      <w:lang w:eastAsia="es-PE"/>
                    </w:rPr>
                    <w:t xml:space="preserve">educativo o unidad productora </w:t>
                  </w:r>
                  <w:r w:rsidRPr="00A646D4">
                    <w:rPr>
                      <w:rFonts w:ascii="Arial" w:eastAsia="Times New Roman" w:hAnsi="Arial"/>
                      <w:sz w:val="16"/>
                      <w:szCs w:val="16"/>
                      <w:lang w:eastAsia="es-PE"/>
                    </w:rPr>
                    <w:t>como inadecuado.</w:t>
                  </w:r>
                </w:p>
              </w:tc>
              <w:tc>
                <w:tcPr>
                  <w:tcW w:w="2835" w:type="dxa"/>
                  <w:vMerge/>
                  <w:shd w:val="clear" w:color="auto" w:fill="auto"/>
                  <w:vAlign w:val="center"/>
                </w:tcPr>
                <w:p w14:paraId="192C28B5" w14:textId="77777777" w:rsidR="005A23AD" w:rsidRPr="00A646D4" w:rsidRDefault="005A23AD" w:rsidP="005A23AD">
                  <w:pPr>
                    <w:spacing w:after="0" w:line="240" w:lineRule="auto"/>
                    <w:contextualSpacing/>
                    <w:jc w:val="center"/>
                    <w:rPr>
                      <w:rFonts w:ascii="Arial" w:eastAsia="Times New Roman" w:hAnsi="Arial"/>
                      <w:sz w:val="20"/>
                      <w:szCs w:val="20"/>
                      <w:lang w:eastAsia="es-PE"/>
                    </w:rPr>
                  </w:pPr>
                </w:p>
              </w:tc>
            </w:tr>
          </w:tbl>
          <w:p w14:paraId="717D1FAB" w14:textId="77777777" w:rsidR="00247CDC" w:rsidRPr="009C6D24" w:rsidRDefault="00247CDC" w:rsidP="00247CDC">
            <w:pPr>
              <w:jc w:val="both"/>
              <w:rPr>
                <w:rFonts w:ascii="Arial" w:hAnsi="Arial"/>
                <w:sz w:val="20"/>
                <w:szCs w:val="20"/>
                <w:highlight w:val="yellow"/>
              </w:rPr>
            </w:pPr>
          </w:p>
          <w:p w14:paraId="1AA34EAC" w14:textId="77777777" w:rsidR="00D212A5" w:rsidRPr="005A5A3D" w:rsidRDefault="00D212A5" w:rsidP="005A5A3D">
            <w:pPr>
              <w:ind w:left="1014"/>
              <w:jc w:val="both"/>
              <w:rPr>
                <w:rFonts w:ascii="Arial" w:hAnsi="Arial"/>
                <w:sz w:val="20"/>
                <w:szCs w:val="20"/>
              </w:rPr>
            </w:pPr>
          </w:p>
          <w:p w14:paraId="060DE3AC" w14:textId="77777777" w:rsidR="00D212A5" w:rsidRPr="005A5A3D" w:rsidRDefault="00D212A5" w:rsidP="005A5A3D">
            <w:pPr>
              <w:pStyle w:val="Prrafodelista"/>
              <w:numPr>
                <w:ilvl w:val="1"/>
                <w:numId w:val="2"/>
              </w:numPr>
              <w:jc w:val="both"/>
              <w:rPr>
                <w:rFonts w:ascii="Arial" w:hAnsi="Arial"/>
                <w:sz w:val="20"/>
                <w:szCs w:val="20"/>
              </w:rPr>
            </w:pPr>
            <w:r w:rsidRPr="005A5A3D">
              <w:rPr>
                <w:rFonts w:ascii="Arial" w:hAnsi="Arial"/>
                <w:sz w:val="20"/>
                <w:szCs w:val="20"/>
              </w:rPr>
              <w:t>Censo Escolar (CE). Se determinará que un ambiente se encuentra en estado inadecuado cuando al menos uno de sus elementos (pared, techo o piso) se encuentra con la denominación de Mal estado</w:t>
            </w:r>
            <w:r w:rsidRPr="005A5A3D">
              <w:rPr>
                <w:rStyle w:val="Refdenotaalpie"/>
                <w:rFonts w:ascii="Arial" w:hAnsi="Arial"/>
                <w:sz w:val="20"/>
                <w:szCs w:val="20"/>
              </w:rPr>
              <w:footnoteReference w:id="9"/>
            </w:r>
            <w:r w:rsidRPr="005A5A3D">
              <w:rPr>
                <w:rFonts w:ascii="Arial" w:hAnsi="Arial"/>
                <w:sz w:val="20"/>
                <w:szCs w:val="20"/>
              </w:rPr>
              <w:t>. Por lo tanto, se estimará que la capacidad instalada de la UP se encuentra inadecuado, cuando al menos uno de sus ambientes se encuentre en estado inadecuado, tal como se muestra en el siguiente cuadro.</w:t>
            </w:r>
          </w:p>
          <w:p w14:paraId="5DE3EB87" w14:textId="77777777" w:rsidR="00D212A5" w:rsidRPr="005A5A3D" w:rsidRDefault="00D212A5" w:rsidP="00D212A5">
            <w:pPr>
              <w:pStyle w:val="Prrafodelista"/>
              <w:ind w:left="1440"/>
              <w:jc w:val="both"/>
              <w:rPr>
                <w:rFonts w:ascii="Arial" w:hAnsi="Arial"/>
                <w:sz w:val="20"/>
                <w:szCs w:val="20"/>
              </w:rPr>
            </w:pPr>
          </w:p>
          <w:p w14:paraId="0BCF786B" w14:textId="77777777" w:rsidR="00D212A5" w:rsidRPr="005A5A3D" w:rsidRDefault="00D212A5" w:rsidP="00D212A5">
            <w:pPr>
              <w:pStyle w:val="Prrafodelista"/>
              <w:ind w:left="1440"/>
              <w:jc w:val="both"/>
              <w:rPr>
                <w:rFonts w:ascii="Arial" w:hAnsi="Arial"/>
                <w:sz w:val="20"/>
                <w:szCs w:val="20"/>
              </w:rPr>
            </w:pPr>
          </w:p>
          <w:p w14:paraId="314B5EEA" w14:textId="77777777" w:rsidR="00D212A5" w:rsidRPr="005A5A3D" w:rsidRDefault="00D212A5" w:rsidP="00D212A5">
            <w:pPr>
              <w:pStyle w:val="Prrafodelista"/>
              <w:ind w:left="1440"/>
              <w:jc w:val="both"/>
              <w:rPr>
                <w:rFonts w:ascii="Arial" w:hAnsi="Arial"/>
                <w:sz w:val="20"/>
                <w:szCs w:val="20"/>
              </w:rPr>
            </w:pPr>
          </w:p>
          <w:tbl>
            <w:tblPr>
              <w:tblW w:w="6360" w:type="dxa"/>
              <w:jc w:val="center"/>
              <w:tblLayout w:type="fixed"/>
              <w:tblCellMar>
                <w:left w:w="70" w:type="dxa"/>
                <w:right w:w="70" w:type="dxa"/>
              </w:tblCellMar>
              <w:tblLook w:val="04A0" w:firstRow="1" w:lastRow="0" w:firstColumn="1" w:lastColumn="0" w:noHBand="0" w:noVBand="1"/>
            </w:tblPr>
            <w:tblGrid>
              <w:gridCol w:w="1340"/>
              <w:gridCol w:w="1080"/>
              <w:gridCol w:w="1080"/>
              <w:gridCol w:w="1080"/>
              <w:gridCol w:w="1780"/>
            </w:tblGrid>
            <w:tr w:rsidR="00D212A5" w:rsidRPr="005A5A3D" w14:paraId="39616AB7" w14:textId="77777777" w:rsidTr="006503AE">
              <w:trPr>
                <w:trHeight w:val="510"/>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4F9C5"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proofErr w:type="spellStart"/>
                  <w:r w:rsidRPr="005A5A3D">
                    <w:rPr>
                      <w:rFonts w:ascii="Arial" w:eastAsia="Times New Roman" w:hAnsi="Arial" w:cs="Arial"/>
                      <w:color w:val="000000"/>
                      <w:sz w:val="20"/>
                      <w:szCs w:val="20"/>
                      <w:lang w:eastAsia="es-PE"/>
                    </w:rPr>
                    <w:t>Nº</w:t>
                  </w:r>
                  <w:proofErr w:type="spellEnd"/>
                  <w:r w:rsidRPr="005A5A3D">
                    <w:rPr>
                      <w:rFonts w:ascii="Arial" w:eastAsia="Times New Roman" w:hAnsi="Arial" w:cs="Arial"/>
                      <w:color w:val="000000"/>
                      <w:sz w:val="20"/>
                      <w:szCs w:val="20"/>
                      <w:lang w:eastAsia="es-PE"/>
                    </w:rPr>
                    <w:t xml:space="preserve"> Combinación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F6ECE57"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Estado de la pared</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8EE95EE"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Estado del techo</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3FA9962"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Estado del piso</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FDB4136"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Estado del ambiente</w:t>
                  </w:r>
                </w:p>
              </w:tc>
            </w:tr>
            <w:tr w:rsidR="00D212A5" w:rsidRPr="005A5A3D" w14:paraId="76AD5029"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947CDDD"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1</w:t>
                  </w:r>
                </w:p>
              </w:tc>
              <w:tc>
                <w:tcPr>
                  <w:tcW w:w="1080" w:type="dxa"/>
                  <w:tcBorders>
                    <w:top w:val="nil"/>
                    <w:left w:val="nil"/>
                    <w:bottom w:val="single" w:sz="4" w:space="0" w:color="auto"/>
                    <w:right w:val="single" w:sz="4" w:space="0" w:color="auto"/>
                  </w:tcBorders>
                  <w:shd w:val="clear" w:color="auto" w:fill="auto"/>
                  <w:noWrap/>
                  <w:vAlign w:val="center"/>
                  <w:hideMark/>
                </w:tcPr>
                <w:p w14:paraId="02B179E5"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D9DFB2A"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0B96435"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3463007"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Adecuado</w:t>
                  </w:r>
                </w:p>
              </w:tc>
            </w:tr>
            <w:tr w:rsidR="00D212A5" w:rsidRPr="005A5A3D" w14:paraId="340CF292"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1E92A01"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2</w:t>
                  </w:r>
                </w:p>
              </w:tc>
              <w:tc>
                <w:tcPr>
                  <w:tcW w:w="1080" w:type="dxa"/>
                  <w:tcBorders>
                    <w:top w:val="nil"/>
                    <w:left w:val="nil"/>
                    <w:bottom w:val="single" w:sz="4" w:space="0" w:color="auto"/>
                    <w:right w:val="single" w:sz="4" w:space="0" w:color="auto"/>
                  </w:tcBorders>
                  <w:shd w:val="clear" w:color="auto" w:fill="auto"/>
                  <w:noWrap/>
                  <w:vAlign w:val="center"/>
                  <w:hideMark/>
                </w:tcPr>
                <w:p w14:paraId="18FD64F9"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C175AA1"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6FCB8D7"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184BEE98"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Adecuado</w:t>
                  </w:r>
                </w:p>
              </w:tc>
            </w:tr>
            <w:tr w:rsidR="00D212A5" w:rsidRPr="005A5A3D" w14:paraId="34C08DE5"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FC28B1A"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3</w:t>
                  </w:r>
                </w:p>
              </w:tc>
              <w:tc>
                <w:tcPr>
                  <w:tcW w:w="1080" w:type="dxa"/>
                  <w:tcBorders>
                    <w:top w:val="nil"/>
                    <w:left w:val="nil"/>
                    <w:bottom w:val="single" w:sz="4" w:space="0" w:color="auto"/>
                    <w:right w:val="single" w:sz="4" w:space="0" w:color="auto"/>
                  </w:tcBorders>
                  <w:shd w:val="clear" w:color="auto" w:fill="auto"/>
                  <w:noWrap/>
                  <w:vAlign w:val="center"/>
                  <w:hideMark/>
                </w:tcPr>
                <w:p w14:paraId="155F49E7"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3A2D44D"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18B735FD"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479EDE3C"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Inadecuado</w:t>
                  </w:r>
                </w:p>
              </w:tc>
            </w:tr>
            <w:tr w:rsidR="00D212A5" w:rsidRPr="005A5A3D" w14:paraId="36F99EAE"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A106BD2"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4</w:t>
                  </w:r>
                </w:p>
              </w:tc>
              <w:tc>
                <w:tcPr>
                  <w:tcW w:w="1080" w:type="dxa"/>
                  <w:tcBorders>
                    <w:top w:val="nil"/>
                    <w:left w:val="nil"/>
                    <w:bottom w:val="single" w:sz="4" w:space="0" w:color="auto"/>
                    <w:right w:val="single" w:sz="4" w:space="0" w:color="auto"/>
                  </w:tcBorders>
                  <w:shd w:val="clear" w:color="auto" w:fill="auto"/>
                  <w:noWrap/>
                  <w:vAlign w:val="center"/>
                  <w:hideMark/>
                </w:tcPr>
                <w:p w14:paraId="43054B21"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3D2003C9"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03E04D9"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364CAF9B"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Adecuado</w:t>
                  </w:r>
                </w:p>
              </w:tc>
            </w:tr>
            <w:tr w:rsidR="00D212A5" w:rsidRPr="005A5A3D" w14:paraId="2C986981"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1495D18"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5</w:t>
                  </w:r>
                </w:p>
              </w:tc>
              <w:tc>
                <w:tcPr>
                  <w:tcW w:w="1080" w:type="dxa"/>
                  <w:tcBorders>
                    <w:top w:val="nil"/>
                    <w:left w:val="nil"/>
                    <w:bottom w:val="single" w:sz="4" w:space="0" w:color="auto"/>
                    <w:right w:val="single" w:sz="4" w:space="0" w:color="auto"/>
                  </w:tcBorders>
                  <w:shd w:val="clear" w:color="auto" w:fill="auto"/>
                  <w:noWrap/>
                  <w:vAlign w:val="center"/>
                  <w:hideMark/>
                </w:tcPr>
                <w:p w14:paraId="16851A11"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B45C86F"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F26FE07"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65EC12C1"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Adecuado</w:t>
                  </w:r>
                </w:p>
              </w:tc>
            </w:tr>
            <w:tr w:rsidR="00D212A5" w:rsidRPr="005A5A3D" w14:paraId="3AAF6BF7"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E144936"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6</w:t>
                  </w:r>
                </w:p>
              </w:tc>
              <w:tc>
                <w:tcPr>
                  <w:tcW w:w="1080" w:type="dxa"/>
                  <w:tcBorders>
                    <w:top w:val="nil"/>
                    <w:left w:val="nil"/>
                    <w:bottom w:val="single" w:sz="4" w:space="0" w:color="auto"/>
                    <w:right w:val="single" w:sz="4" w:space="0" w:color="auto"/>
                  </w:tcBorders>
                  <w:shd w:val="clear" w:color="auto" w:fill="auto"/>
                  <w:noWrap/>
                  <w:vAlign w:val="center"/>
                  <w:hideMark/>
                </w:tcPr>
                <w:p w14:paraId="1B49842C"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E6040A8"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D9D6177"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9B11CED"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Inadecuado</w:t>
                  </w:r>
                </w:p>
              </w:tc>
            </w:tr>
            <w:tr w:rsidR="00D212A5" w:rsidRPr="005A5A3D" w14:paraId="239A931B"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6CDC196"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7</w:t>
                  </w:r>
                </w:p>
              </w:tc>
              <w:tc>
                <w:tcPr>
                  <w:tcW w:w="1080" w:type="dxa"/>
                  <w:tcBorders>
                    <w:top w:val="nil"/>
                    <w:left w:val="nil"/>
                    <w:bottom w:val="single" w:sz="4" w:space="0" w:color="auto"/>
                    <w:right w:val="single" w:sz="4" w:space="0" w:color="auto"/>
                  </w:tcBorders>
                  <w:shd w:val="clear" w:color="auto" w:fill="auto"/>
                  <w:noWrap/>
                  <w:vAlign w:val="center"/>
                  <w:hideMark/>
                </w:tcPr>
                <w:p w14:paraId="4E88960C"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68F11C41"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04D5D7E9"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1AC8C782"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Adecuado</w:t>
                  </w:r>
                </w:p>
              </w:tc>
            </w:tr>
            <w:tr w:rsidR="00D212A5" w:rsidRPr="005A5A3D" w14:paraId="4FC99F2F"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C0A3438"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8</w:t>
                  </w:r>
                </w:p>
              </w:tc>
              <w:tc>
                <w:tcPr>
                  <w:tcW w:w="1080" w:type="dxa"/>
                  <w:tcBorders>
                    <w:top w:val="nil"/>
                    <w:left w:val="nil"/>
                    <w:bottom w:val="single" w:sz="4" w:space="0" w:color="auto"/>
                    <w:right w:val="single" w:sz="4" w:space="0" w:color="auto"/>
                  </w:tcBorders>
                  <w:shd w:val="clear" w:color="auto" w:fill="auto"/>
                  <w:noWrap/>
                  <w:vAlign w:val="center"/>
                  <w:hideMark/>
                </w:tcPr>
                <w:p w14:paraId="2E823823"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4B070DA"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0FE648BE"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108169EF"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Inadecuado</w:t>
                  </w:r>
                </w:p>
              </w:tc>
            </w:tr>
            <w:tr w:rsidR="00D212A5" w:rsidRPr="005A5A3D" w14:paraId="3922CBFD"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4ECB21B"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9</w:t>
                  </w:r>
                </w:p>
              </w:tc>
              <w:tc>
                <w:tcPr>
                  <w:tcW w:w="1080" w:type="dxa"/>
                  <w:tcBorders>
                    <w:top w:val="nil"/>
                    <w:left w:val="nil"/>
                    <w:bottom w:val="single" w:sz="4" w:space="0" w:color="auto"/>
                    <w:right w:val="single" w:sz="4" w:space="0" w:color="auto"/>
                  </w:tcBorders>
                  <w:shd w:val="clear" w:color="auto" w:fill="auto"/>
                  <w:noWrap/>
                  <w:vAlign w:val="center"/>
                  <w:hideMark/>
                </w:tcPr>
                <w:p w14:paraId="07797C18"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A9A66BB"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063EEBE"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4CAF4EC"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Adecuado</w:t>
                  </w:r>
                </w:p>
              </w:tc>
            </w:tr>
            <w:tr w:rsidR="00D212A5" w:rsidRPr="005A5A3D" w14:paraId="4924C9A0"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6F882FA"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10</w:t>
                  </w:r>
                </w:p>
              </w:tc>
              <w:tc>
                <w:tcPr>
                  <w:tcW w:w="1080" w:type="dxa"/>
                  <w:tcBorders>
                    <w:top w:val="nil"/>
                    <w:left w:val="nil"/>
                    <w:bottom w:val="single" w:sz="4" w:space="0" w:color="auto"/>
                    <w:right w:val="single" w:sz="4" w:space="0" w:color="auto"/>
                  </w:tcBorders>
                  <w:shd w:val="clear" w:color="auto" w:fill="auto"/>
                  <w:noWrap/>
                  <w:vAlign w:val="center"/>
                  <w:hideMark/>
                </w:tcPr>
                <w:p w14:paraId="06C5710A"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F8E334B"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6D52B9F5"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9B4D38F"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Inadecuado</w:t>
                  </w:r>
                </w:p>
              </w:tc>
            </w:tr>
            <w:tr w:rsidR="00D212A5" w:rsidRPr="005A5A3D" w14:paraId="6130445A"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357CD34"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11</w:t>
                  </w:r>
                </w:p>
              </w:tc>
              <w:tc>
                <w:tcPr>
                  <w:tcW w:w="1080" w:type="dxa"/>
                  <w:tcBorders>
                    <w:top w:val="nil"/>
                    <w:left w:val="nil"/>
                    <w:bottom w:val="single" w:sz="4" w:space="0" w:color="auto"/>
                    <w:right w:val="single" w:sz="4" w:space="0" w:color="auto"/>
                  </w:tcBorders>
                  <w:shd w:val="clear" w:color="auto" w:fill="auto"/>
                  <w:noWrap/>
                  <w:vAlign w:val="center"/>
                  <w:hideMark/>
                </w:tcPr>
                <w:p w14:paraId="7A6801B4"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31650FA"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A2D4098"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0513BC6D"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Adecuado</w:t>
                  </w:r>
                </w:p>
              </w:tc>
            </w:tr>
            <w:tr w:rsidR="00D212A5" w:rsidRPr="005A5A3D" w14:paraId="1FE7E790"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3BB2C6F"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12</w:t>
                  </w:r>
                </w:p>
              </w:tc>
              <w:tc>
                <w:tcPr>
                  <w:tcW w:w="1080" w:type="dxa"/>
                  <w:tcBorders>
                    <w:top w:val="nil"/>
                    <w:left w:val="nil"/>
                    <w:bottom w:val="single" w:sz="4" w:space="0" w:color="auto"/>
                    <w:right w:val="single" w:sz="4" w:space="0" w:color="auto"/>
                  </w:tcBorders>
                  <w:shd w:val="clear" w:color="auto" w:fill="auto"/>
                  <w:noWrap/>
                  <w:vAlign w:val="center"/>
                  <w:hideMark/>
                </w:tcPr>
                <w:p w14:paraId="0EA454F3"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515BB1B6"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5BD7F3D"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11C72520"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Adecuado</w:t>
                  </w:r>
                </w:p>
              </w:tc>
            </w:tr>
            <w:tr w:rsidR="00D212A5" w:rsidRPr="005A5A3D" w14:paraId="62D3092D"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EAB35DD"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13</w:t>
                  </w:r>
                </w:p>
              </w:tc>
              <w:tc>
                <w:tcPr>
                  <w:tcW w:w="1080" w:type="dxa"/>
                  <w:tcBorders>
                    <w:top w:val="nil"/>
                    <w:left w:val="nil"/>
                    <w:bottom w:val="single" w:sz="4" w:space="0" w:color="auto"/>
                    <w:right w:val="single" w:sz="4" w:space="0" w:color="auto"/>
                  </w:tcBorders>
                  <w:shd w:val="clear" w:color="auto" w:fill="auto"/>
                  <w:noWrap/>
                  <w:vAlign w:val="center"/>
                  <w:hideMark/>
                </w:tcPr>
                <w:p w14:paraId="293E1BC1"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4EBB84FE"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AE9E1DD"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498A89BE"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Inadecuado</w:t>
                  </w:r>
                </w:p>
              </w:tc>
            </w:tr>
            <w:tr w:rsidR="00D212A5" w:rsidRPr="005A5A3D" w14:paraId="1BC1CE8E"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513E44E"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14</w:t>
                  </w:r>
                </w:p>
              </w:tc>
              <w:tc>
                <w:tcPr>
                  <w:tcW w:w="1080" w:type="dxa"/>
                  <w:tcBorders>
                    <w:top w:val="nil"/>
                    <w:left w:val="nil"/>
                    <w:bottom w:val="single" w:sz="4" w:space="0" w:color="auto"/>
                    <w:right w:val="single" w:sz="4" w:space="0" w:color="auto"/>
                  </w:tcBorders>
                  <w:shd w:val="clear" w:color="auto" w:fill="auto"/>
                  <w:noWrap/>
                  <w:vAlign w:val="center"/>
                  <w:hideMark/>
                </w:tcPr>
                <w:p w14:paraId="772A5FD2"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FAAF32D"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C3FD0CD"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473A1EF1"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Inadecuado</w:t>
                  </w:r>
                </w:p>
              </w:tc>
            </w:tr>
            <w:tr w:rsidR="00D212A5" w:rsidRPr="005A5A3D" w14:paraId="6BDC585F"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51DF09B"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15</w:t>
                  </w:r>
                </w:p>
              </w:tc>
              <w:tc>
                <w:tcPr>
                  <w:tcW w:w="1080" w:type="dxa"/>
                  <w:tcBorders>
                    <w:top w:val="nil"/>
                    <w:left w:val="nil"/>
                    <w:bottom w:val="single" w:sz="4" w:space="0" w:color="auto"/>
                    <w:right w:val="single" w:sz="4" w:space="0" w:color="auto"/>
                  </w:tcBorders>
                  <w:shd w:val="clear" w:color="auto" w:fill="auto"/>
                  <w:noWrap/>
                  <w:vAlign w:val="center"/>
                  <w:hideMark/>
                </w:tcPr>
                <w:p w14:paraId="18A44E0A"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7252A67A"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7C99625"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3B920526"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Inadecuado</w:t>
                  </w:r>
                </w:p>
              </w:tc>
            </w:tr>
            <w:tr w:rsidR="00D212A5" w:rsidRPr="005A5A3D" w14:paraId="01602F37"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F371EFB"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16</w:t>
                  </w:r>
                </w:p>
              </w:tc>
              <w:tc>
                <w:tcPr>
                  <w:tcW w:w="1080" w:type="dxa"/>
                  <w:tcBorders>
                    <w:top w:val="nil"/>
                    <w:left w:val="nil"/>
                    <w:bottom w:val="single" w:sz="4" w:space="0" w:color="auto"/>
                    <w:right w:val="single" w:sz="4" w:space="0" w:color="auto"/>
                  </w:tcBorders>
                  <w:shd w:val="clear" w:color="auto" w:fill="auto"/>
                  <w:noWrap/>
                  <w:vAlign w:val="center"/>
                  <w:hideMark/>
                </w:tcPr>
                <w:p w14:paraId="00AC87BC"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5DFF735"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C1BAA23"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3C5AC5B9"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Inadecuado</w:t>
                  </w:r>
                </w:p>
              </w:tc>
            </w:tr>
            <w:tr w:rsidR="00D212A5" w:rsidRPr="005A5A3D" w14:paraId="516C1374"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1FFFEC3"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17</w:t>
                  </w:r>
                </w:p>
              </w:tc>
              <w:tc>
                <w:tcPr>
                  <w:tcW w:w="1080" w:type="dxa"/>
                  <w:tcBorders>
                    <w:top w:val="nil"/>
                    <w:left w:val="nil"/>
                    <w:bottom w:val="single" w:sz="4" w:space="0" w:color="auto"/>
                    <w:right w:val="single" w:sz="4" w:space="0" w:color="auto"/>
                  </w:tcBorders>
                  <w:shd w:val="clear" w:color="auto" w:fill="auto"/>
                  <w:noWrap/>
                  <w:vAlign w:val="center"/>
                  <w:hideMark/>
                </w:tcPr>
                <w:p w14:paraId="34DD5802"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A860983"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327B6AF"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55985E72"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Inadecuado</w:t>
                  </w:r>
                </w:p>
              </w:tc>
            </w:tr>
            <w:tr w:rsidR="00D212A5" w:rsidRPr="005A5A3D" w14:paraId="3D78E7E3"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A333364"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18</w:t>
                  </w:r>
                </w:p>
              </w:tc>
              <w:tc>
                <w:tcPr>
                  <w:tcW w:w="1080" w:type="dxa"/>
                  <w:tcBorders>
                    <w:top w:val="nil"/>
                    <w:left w:val="nil"/>
                    <w:bottom w:val="single" w:sz="4" w:space="0" w:color="auto"/>
                    <w:right w:val="single" w:sz="4" w:space="0" w:color="auto"/>
                  </w:tcBorders>
                  <w:shd w:val="clear" w:color="auto" w:fill="auto"/>
                  <w:noWrap/>
                  <w:vAlign w:val="center"/>
                  <w:hideMark/>
                </w:tcPr>
                <w:p w14:paraId="59474C88"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F4FE901"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57AA9EE8"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479F186D"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Inadecuado</w:t>
                  </w:r>
                </w:p>
              </w:tc>
            </w:tr>
            <w:tr w:rsidR="00D212A5" w:rsidRPr="005A5A3D" w14:paraId="4859231C"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264C495"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19</w:t>
                  </w:r>
                </w:p>
              </w:tc>
              <w:tc>
                <w:tcPr>
                  <w:tcW w:w="1080" w:type="dxa"/>
                  <w:tcBorders>
                    <w:top w:val="nil"/>
                    <w:left w:val="nil"/>
                    <w:bottom w:val="single" w:sz="4" w:space="0" w:color="auto"/>
                    <w:right w:val="single" w:sz="4" w:space="0" w:color="auto"/>
                  </w:tcBorders>
                  <w:shd w:val="clear" w:color="auto" w:fill="auto"/>
                  <w:noWrap/>
                  <w:vAlign w:val="center"/>
                  <w:hideMark/>
                </w:tcPr>
                <w:p w14:paraId="4ED66F28"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3732202"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42EC5D59"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00C60923"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Inadecuado</w:t>
                  </w:r>
                </w:p>
              </w:tc>
            </w:tr>
            <w:tr w:rsidR="00D212A5" w:rsidRPr="005A5A3D" w14:paraId="0E3DCA19"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1EA4C723"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20</w:t>
                  </w:r>
                </w:p>
              </w:tc>
              <w:tc>
                <w:tcPr>
                  <w:tcW w:w="1080" w:type="dxa"/>
                  <w:tcBorders>
                    <w:top w:val="nil"/>
                    <w:left w:val="nil"/>
                    <w:bottom w:val="single" w:sz="4" w:space="0" w:color="auto"/>
                    <w:right w:val="single" w:sz="4" w:space="0" w:color="auto"/>
                  </w:tcBorders>
                  <w:shd w:val="clear" w:color="auto" w:fill="auto"/>
                  <w:noWrap/>
                  <w:vAlign w:val="center"/>
                  <w:hideMark/>
                </w:tcPr>
                <w:p w14:paraId="3278401D"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4A406D6E"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080" w:type="dxa"/>
                  <w:tcBorders>
                    <w:top w:val="nil"/>
                    <w:left w:val="nil"/>
                    <w:bottom w:val="single" w:sz="4" w:space="0" w:color="auto"/>
                    <w:right w:val="single" w:sz="4" w:space="0" w:color="auto"/>
                  </w:tcBorders>
                  <w:shd w:val="clear" w:color="auto" w:fill="auto"/>
                  <w:noWrap/>
                  <w:vAlign w:val="center"/>
                  <w:hideMark/>
                </w:tcPr>
                <w:p w14:paraId="24B2E716"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7E57ED76"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Inadecuado</w:t>
                  </w:r>
                </w:p>
              </w:tc>
            </w:tr>
            <w:tr w:rsidR="00D212A5" w:rsidRPr="005A5A3D" w14:paraId="1E599C65"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37EC8DE"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21</w:t>
                  </w:r>
                </w:p>
              </w:tc>
              <w:tc>
                <w:tcPr>
                  <w:tcW w:w="1080" w:type="dxa"/>
                  <w:tcBorders>
                    <w:top w:val="nil"/>
                    <w:left w:val="nil"/>
                    <w:bottom w:val="single" w:sz="4" w:space="0" w:color="auto"/>
                    <w:right w:val="single" w:sz="4" w:space="0" w:color="auto"/>
                  </w:tcBorders>
                  <w:shd w:val="clear" w:color="auto" w:fill="auto"/>
                  <w:noWrap/>
                  <w:vAlign w:val="center"/>
                  <w:hideMark/>
                </w:tcPr>
                <w:p w14:paraId="61ECD7CB"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561F7D5B"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1118FA82"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064EF6AA"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Inadecuado</w:t>
                  </w:r>
                </w:p>
              </w:tc>
            </w:tr>
            <w:tr w:rsidR="00D212A5" w:rsidRPr="005A5A3D" w14:paraId="184D4EC7"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ED190DA"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22</w:t>
                  </w:r>
                </w:p>
              </w:tc>
              <w:tc>
                <w:tcPr>
                  <w:tcW w:w="1080" w:type="dxa"/>
                  <w:tcBorders>
                    <w:top w:val="nil"/>
                    <w:left w:val="nil"/>
                    <w:bottom w:val="single" w:sz="4" w:space="0" w:color="auto"/>
                    <w:right w:val="single" w:sz="4" w:space="0" w:color="auto"/>
                  </w:tcBorders>
                  <w:shd w:val="clear" w:color="auto" w:fill="auto"/>
                  <w:noWrap/>
                  <w:vAlign w:val="center"/>
                  <w:hideMark/>
                </w:tcPr>
                <w:p w14:paraId="78AEE3F1"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86B925A"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01DA8601"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375378C7"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Inadecuado</w:t>
                  </w:r>
                </w:p>
              </w:tc>
            </w:tr>
            <w:tr w:rsidR="00D212A5" w:rsidRPr="005A5A3D" w14:paraId="688921D9"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8D3E2A9"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23</w:t>
                  </w:r>
                </w:p>
              </w:tc>
              <w:tc>
                <w:tcPr>
                  <w:tcW w:w="1080" w:type="dxa"/>
                  <w:tcBorders>
                    <w:top w:val="nil"/>
                    <w:left w:val="nil"/>
                    <w:bottom w:val="single" w:sz="4" w:space="0" w:color="auto"/>
                    <w:right w:val="single" w:sz="4" w:space="0" w:color="auto"/>
                  </w:tcBorders>
                  <w:shd w:val="clear" w:color="auto" w:fill="auto"/>
                  <w:noWrap/>
                  <w:vAlign w:val="center"/>
                  <w:hideMark/>
                </w:tcPr>
                <w:p w14:paraId="23AB5A58"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7FB5997D"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74CE4119"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27A4637B"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Inadecuado</w:t>
                  </w:r>
                </w:p>
              </w:tc>
            </w:tr>
            <w:tr w:rsidR="00D212A5" w:rsidRPr="005A5A3D" w14:paraId="4CA82F5E"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FE47C90"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24</w:t>
                  </w:r>
                </w:p>
              </w:tc>
              <w:tc>
                <w:tcPr>
                  <w:tcW w:w="1080" w:type="dxa"/>
                  <w:tcBorders>
                    <w:top w:val="nil"/>
                    <w:left w:val="nil"/>
                    <w:bottom w:val="single" w:sz="4" w:space="0" w:color="auto"/>
                    <w:right w:val="single" w:sz="4" w:space="0" w:color="auto"/>
                  </w:tcBorders>
                  <w:shd w:val="clear" w:color="auto" w:fill="auto"/>
                  <w:noWrap/>
                  <w:vAlign w:val="center"/>
                  <w:hideMark/>
                </w:tcPr>
                <w:p w14:paraId="2B8B8E62"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080" w:type="dxa"/>
                  <w:tcBorders>
                    <w:top w:val="nil"/>
                    <w:left w:val="nil"/>
                    <w:bottom w:val="single" w:sz="4" w:space="0" w:color="auto"/>
                    <w:right w:val="single" w:sz="4" w:space="0" w:color="auto"/>
                  </w:tcBorders>
                  <w:shd w:val="clear" w:color="auto" w:fill="auto"/>
                  <w:noWrap/>
                  <w:vAlign w:val="center"/>
                  <w:hideMark/>
                </w:tcPr>
                <w:p w14:paraId="23E21900"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33E5CED9"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123D1701"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Inadecuado</w:t>
                  </w:r>
                </w:p>
              </w:tc>
            </w:tr>
            <w:tr w:rsidR="00D212A5" w:rsidRPr="005A5A3D" w14:paraId="01FCD5B6"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B2E1737"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25</w:t>
                  </w:r>
                </w:p>
              </w:tc>
              <w:tc>
                <w:tcPr>
                  <w:tcW w:w="1080" w:type="dxa"/>
                  <w:tcBorders>
                    <w:top w:val="nil"/>
                    <w:left w:val="nil"/>
                    <w:bottom w:val="single" w:sz="4" w:space="0" w:color="auto"/>
                    <w:right w:val="single" w:sz="4" w:space="0" w:color="auto"/>
                  </w:tcBorders>
                  <w:shd w:val="clear" w:color="auto" w:fill="auto"/>
                  <w:noWrap/>
                  <w:vAlign w:val="center"/>
                  <w:hideMark/>
                </w:tcPr>
                <w:p w14:paraId="623D92AA"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F305CFF"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D6C894A"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B</w:t>
                  </w:r>
                </w:p>
              </w:tc>
              <w:tc>
                <w:tcPr>
                  <w:tcW w:w="1780" w:type="dxa"/>
                  <w:tcBorders>
                    <w:top w:val="nil"/>
                    <w:left w:val="nil"/>
                    <w:bottom w:val="single" w:sz="4" w:space="0" w:color="auto"/>
                    <w:right w:val="single" w:sz="4" w:space="0" w:color="auto"/>
                  </w:tcBorders>
                  <w:shd w:val="clear" w:color="auto" w:fill="auto"/>
                  <w:noWrap/>
                  <w:hideMark/>
                </w:tcPr>
                <w:p w14:paraId="37DBB007"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Inadecuado</w:t>
                  </w:r>
                </w:p>
              </w:tc>
            </w:tr>
            <w:tr w:rsidR="00D212A5" w:rsidRPr="005A5A3D" w14:paraId="656704AC"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B9F6070"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26</w:t>
                  </w:r>
                </w:p>
              </w:tc>
              <w:tc>
                <w:tcPr>
                  <w:tcW w:w="1080" w:type="dxa"/>
                  <w:tcBorders>
                    <w:top w:val="nil"/>
                    <w:left w:val="nil"/>
                    <w:bottom w:val="single" w:sz="4" w:space="0" w:color="auto"/>
                    <w:right w:val="single" w:sz="4" w:space="0" w:color="auto"/>
                  </w:tcBorders>
                  <w:shd w:val="clear" w:color="auto" w:fill="auto"/>
                  <w:noWrap/>
                  <w:vAlign w:val="center"/>
                  <w:hideMark/>
                </w:tcPr>
                <w:p w14:paraId="0C4380CF"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14B140B2"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F0BA8AE"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R</w:t>
                  </w:r>
                </w:p>
              </w:tc>
              <w:tc>
                <w:tcPr>
                  <w:tcW w:w="1780" w:type="dxa"/>
                  <w:tcBorders>
                    <w:top w:val="nil"/>
                    <w:left w:val="nil"/>
                    <w:bottom w:val="single" w:sz="4" w:space="0" w:color="auto"/>
                    <w:right w:val="single" w:sz="4" w:space="0" w:color="auto"/>
                  </w:tcBorders>
                  <w:shd w:val="clear" w:color="auto" w:fill="auto"/>
                  <w:noWrap/>
                  <w:hideMark/>
                </w:tcPr>
                <w:p w14:paraId="2D530802"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Inadecuado</w:t>
                  </w:r>
                </w:p>
              </w:tc>
            </w:tr>
            <w:tr w:rsidR="00D212A5" w:rsidRPr="005A5A3D" w14:paraId="755E0FE3" w14:textId="77777777" w:rsidTr="006503AE">
              <w:trPr>
                <w:trHeight w:val="255"/>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3C2B336B"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27</w:t>
                  </w:r>
                </w:p>
              </w:tc>
              <w:tc>
                <w:tcPr>
                  <w:tcW w:w="1080" w:type="dxa"/>
                  <w:tcBorders>
                    <w:top w:val="nil"/>
                    <w:left w:val="nil"/>
                    <w:bottom w:val="single" w:sz="4" w:space="0" w:color="auto"/>
                    <w:right w:val="single" w:sz="4" w:space="0" w:color="auto"/>
                  </w:tcBorders>
                  <w:shd w:val="clear" w:color="auto" w:fill="auto"/>
                  <w:noWrap/>
                  <w:vAlign w:val="center"/>
                  <w:hideMark/>
                </w:tcPr>
                <w:p w14:paraId="60607027"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6EBB71AA"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080" w:type="dxa"/>
                  <w:tcBorders>
                    <w:top w:val="nil"/>
                    <w:left w:val="nil"/>
                    <w:bottom w:val="single" w:sz="4" w:space="0" w:color="auto"/>
                    <w:right w:val="single" w:sz="4" w:space="0" w:color="auto"/>
                  </w:tcBorders>
                  <w:shd w:val="clear" w:color="auto" w:fill="auto"/>
                  <w:noWrap/>
                  <w:vAlign w:val="center"/>
                  <w:hideMark/>
                </w:tcPr>
                <w:p w14:paraId="28047D5F" w14:textId="77777777" w:rsidR="00D212A5" w:rsidRPr="005A5A3D" w:rsidRDefault="00D212A5" w:rsidP="00D212A5">
                  <w:pPr>
                    <w:spacing w:after="0" w:line="240" w:lineRule="auto"/>
                    <w:jc w:val="center"/>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M</w:t>
                  </w:r>
                </w:p>
              </w:tc>
              <w:tc>
                <w:tcPr>
                  <w:tcW w:w="1780" w:type="dxa"/>
                  <w:tcBorders>
                    <w:top w:val="nil"/>
                    <w:left w:val="nil"/>
                    <w:bottom w:val="single" w:sz="4" w:space="0" w:color="auto"/>
                    <w:right w:val="single" w:sz="4" w:space="0" w:color="auto"/>
                  </w:tcBorders>
                  <w:shd w:val="clear" w:color="auto" w:fill="auto"/>
                  <w:noWrap/>
                  <w:hideMark/>
                </w:tcPr>
                <w:p w14:paraId="4F4A6DAB" w14:textId="77777777" w:rsidR="00D212A5" w:rsidRPr="005A5A3D" w:rsidRDefault="00D212A5" w:rsidP="00D212A5">
                  <w:pPr>
                    <w:spacing w:after="0" w:line="240" w:lineRule="auto"/>
                    <w:rPr>
                      <w:rFonts w:ascii="Arial" w:eastAsia="Times New Roman" w:hAnsi="Arial" w:cs="Arial"/>
                      <w:color w:val="000000"/>
                      <w:sz w:val="20"/>
                      <w:szCs w:val="20"/>
                      <w:lang w:eastAsia="es-PE"/>
                    </w:rPr>
                  </w:pPr>
                  <w:r w:rsidRPr="005A5A3D">
                    <w:rPr>
                      <w:rFonts w:ascii="Arial" w:eastAsia="Times New Roman" w:hAnsi="Arial" w:cs="Arial"/>
                      <w:color w:val="000000"/>
                      <w:sz w:val="20"/>
                      <w:szCs w:val="20"/>
                      <w:lang w:eastAsia="es-PE"/>
                    </w:rPr>
                    <w:t>Inadecuado</w:t>
                  </w:r>
                </w:p>
              </w:tc>
            </w:tr>
          </w:tbl>
          <w:p w14:paraId="3AF41895" w14:textId="77777777" w:rsidR="00D212A5" w:rsidRPr="005A5A3D" w:rsidRDefault="00D212A5" w:rsidP="00D212A5">
            <w:pPr>
              <w:jc w:val="both"/>
              <w:rPr>
                <w:rFonts w:ascii="Arial" w:hAnsi="Arial"/>
                <w:sz w:val="20"/>
                <w:szCs w:val="20"/>
              </w:rPr>
            </w:pPr>
          </w:p>
          <w:p w14:paraId="415FD1F6" w14:textId="77777777" w:rsidR="00D212A5" w:rsidRPr="005A5A3D" w:rsidRDefault="00D212A5" w:rsidP="00D212A5">
            <w:pPr>
              <w:pStyle w:val="Prrafodelista"/>
              <w:ind w:left="1440"/>
              <w:jc w:val="both"/>
              <w:rPr>
                <w:rFonts w:ascii="Arial" w:hAnsi="Arial"/>
                <w:sz w:val="20"/>
                <w:szCs w:val="20"/>
              </w:rPr>
            </w:pPr>
            <w:r w:rsidRPr="005A5A3D">
              <w:rPr>
                <w:rFonts w:ascii="Arial" w:hAnsi="Arial"/>
                <w:sz w:val="20"/>
                <w:szCs w:val="20"/>
              </w:rPr>
              <w:t>Donde:</w:t>
            </w:r>
          </w:p>
          <w:p w14:paraId="1406AF4C" w14:textId="77777777" w:rsidR="00D212A5" w:rsidRPr="005A5A3D" w:rsidRDefault="00D212A5" w:rsidP="00D212A5">
            <w:pPr>
              <w:pStyle w:val="Prrafodelista"/>
              <w:ind w:left="1440"/>
              <w:jc w:val="both"/>
              <w:rPr>
                <w:rFonts w:ascii="Arial" w:hAnsi="Arial"/>
                <w:sz w:val="20"/>
                <w:szCs w:val="20"/>
              </w:rPr>
            </w:pPr>
          </w:p>
          <w:p w14:paraId="5F7FC3C9" w14:textId="77777777" w:rsidR="00D212A5" w:rsidRPr="005A5A3D" w:rsidRDefault="00D212A5" w:rsidP="00D212A5">
            <w:pPr>
              <w:pStyle w:val="Prrafodelista"/>
              <w:ind w:left="1440"/>
              <w:jc w:val="both"/>
              <w:rPr>
                <w:rFonts w:ascii="Arial" w:hAnsi="Arial"/>
                <w:sz w:val="20"/>
                <w:szCs w:val="20"/>
              </w:rPr>
            </w:pPr>
            <w:r w:rsidRPr="005A5A3D">
              <w:rPr>
                <w:rFonts w:ascii="Arial" w:hAnsi="Arial"/>
                <w:sz w:val="20"/>
                <w:szCs w:val="20"/>
              </w:rPr>
              <w:t>B: Bueno estado</w:t>
            </w:r>
          </w:p>
          <w:p w14:paraId="4386D34E" w14:textId="77777777" w:rsidR="00D212A5" w:rsidRPr="005A5A3D" w:rsidRDefault="00D212A5" w:rsidP="00D212A5">
            <w:pPr>
              <w:pStyle w:val="Prrafodelista"/>
              <w:ind w:left="1440"/>
              <w:jc w:val="both"/>
              <w:rPr>
                <w:rFonts w:ascii="Arial" w:hAnsi="Arial"/>
                <w:sz w:val="20"/>
                <w:szCs w:val="20"/>
              </w:rPr>
            </w:pPr>
            <w:r w:rsidRPr="005A5A3D">
              <w:rPr>
                <w:rFonts w:ascii="Arial" w:hAnsi="Arial"/>
                <w:sz w:val="20"/>
                <w:szCs w:val="20"/>
              </w:rPr>
              <w:t>R: Regular estado</w:t>
            </w:r>
          </w:p>
          <w:p w14:paraId="266536A6" w14:textId="77777777" w:rsidR="00D212A5" w:rsidRPr="005A5A3D" w:rsidRDefault="00D212A5" w:rsidP="00D212A5">
            <w:pPr>
              <w:pStyle w:val="Prrafodelista"/>
              <w:ind w:left="1440"/>
              <w:jc w:val="both"/>
              <w:rPr>
                <w:rFonts w:ascii="Arial" w:hAnsi="Arial"/>
                <w:sz w:val="20"/>
                <w:szCs w:val="20"/>
              </w:rPr>
            </w:pPr>
            <w:r w:rsidRPr="005A5A3D">
              <w:rPr>
                <w:rFonts w:ascii="Arial" w:hAnsi="Arial"/>
                <w:sz w:val="20"/>
                <w:szCs w:val="20"/>
              </w:rPr>
              <w:t>M: Malo estado</w:t>
            </w:r>
          </w:p>
          <w:p w14:paraId="343D943A" w14:textId="77777777" w:rsidR="00D212A5" w:rsidRPr="005A5A3D" w:rsidRDefault="00D212A5" w:rsidP="00D212A5">
            <w:pPr>
              <w:jc w:val="both"/>
              <w:rPr>
                <w:rFonts w:ascii="Arial" w:hAnsi="Arial"/>
                <w:sz w:val="20"/>
                <w:szCs w:val="20"/>
              </w:rPr>
            </w:pPr>
          </w:p>
          <w:p w14:paraId="396C3848" w14:textId="77777777" w:rsidR="00D212A5" w:rsidRPr="005A5A3D" w:rsidRDefault="00D212A5" w:rsidP="00D212A5">
            <w:pPr>
              <w:ind w:left="1014"/>
              <w:jc w:val="both"/>
              <w:rPr>
                <w:rFonts w:ascii="Arial" w:hAnsi="Arial"/>
                <w:sz w:val="20"/>
                <w:szCs w:val="20"/>
              </w:rPr>
            </w:pPr>
            <w:r w:rsidRPr="005A5A3D">
              <w:rPr>
                <w:rFonts w:ascii="Arial" w:hAnsi="Arial"/>
                <w:sz w:val="20"/>
                <w:szCs w:val="20"/>
              </w:rPr>
              <w:t>Para el caso de los espacios deportivos abiertos y espacios exteriores o de relación con la naturaleza la información del estado del ambiente se solicita al director, ya que para estos ambientes no es posible declarar los componentes como pared o techo.</w:t>
            </w:r>
          </w:p>
          <w:p w14:paraId="7400B5E2" w14:textId="77777777" w:rsidR="00D212A5" w:rsidRPr="005A5A3D" w:rsidRDefault="00D212A5" w:rsidP="00247CDC">
            <w:pPr>
              <w:ind w:left="1014"/>
              <w:jc w:val="both"/>
              <w:rPr>
                <w:rFonts w:ascii="Arial" w:hAnsi="Arial"/>
                <w:sz w:val="20"/>
                <w:szCs w:val="20"/>
              </w:rPr>
            </w:pPr>
          </w:p>
          <w:p w14:paraId="67A41B98" w14:textId="77777777" w:rsidR="005A23AD" w:rsidRPr="005A5A3D" w:rsidRDefault="005A23AD" w:rsidP="005A23AD">
            <w:pPr>
              <w:pStyle w:val="Prrafodelista"/>
              <w:numPr>
                <w:ilvl w:val="0"/>
                <w:numId w:val="2"/>
              </w:numPr>
              <w:autoSpaceDE w:val="0"/>
              <w:autoSpaceDN w:val="0"/>
              <w:jc w:val="both"/>
              <w:rPr>
                <w:rFonts w:ascii="Arial" w:eastAsiaTheme="minorEastAsia" w:hAnsi="Arial"/>
                <w:sz w:val="20"/>
                <w:szCs w:val="20"/>
              </w:rPr>
            </w:pPr>
            <w:r w:rsidRPr="005A5A3D">
              <w:rPr>
                <w:rFonts w:ascii="Arial" w:eastAsiaTheme="minorEastAsia" w:hAnsi="Arial"/>
                <w:sz w:val="20"/>
                <w:szCs w:val="20"/>
              </w:rPr>
              <w:lastRenderedPageBreak/>
              <w:t>Para efectos de estimar con precisión el valor numérico de los indicadores y contar con un elevado nivel de confianza del estado de las UP a través de un análisis de inversión, no se consideran las inversiones con las siguientes características</w:t>
            </w:r>
            <w:r w:rsidRPr="005A5A3D">
              <w:rPr>
                <w:rStyle w:val="Refdenotaalpie"/>
                <w:rFonts w:ascii="Arial" w:eastAsiaTheme="minorEastAsia" w:hAnsi="Arial"/>
                <w:sz w:val="20"/>
                <w:szCs w:val="20"/>
              </w:rPr>
              <w:footnoteReference w:id="10"/>
            </w:r>
            <w:r w:rsidRPr="005A5A3D">
              <w:rPr>
                <w:rFonts w:ascii="Arial" w:eastAsiaTheme="minorEastAsia" w:hAnsi="Arial"/>
                <w:sz w:val="20"/>
                <w:szCs w:val="20"/>
              </w:rPr>
              <w:t>:</w:t>
            </w:r>
          </w:p>
          <w:p w14:paraId="1DC3826B" w14:textId="77777777" w:rsidR="005A23AD" w:rsidRPr="005A5A3D" w:rsidRDefault="005A23AD" w:rsidP="005A23AD">
            <w:pPr>
              <w:rPr>
                <w:rFonts w:ascii="Arial" w:hAnsi="Arial"/>
                <w:sz w:val="20"/>
                <w:szCs w:val="20"/>
              </w:rPr>
            </w:pPr>
          </w:p>
          <w:p w14:paraId="706F016F" w14:textId="77777777" w:rsidR="005A23AD" w:rsidRPr="00993ABF" w:rsidRDefault="005A23AD" w:rsidP="005A23AD">
            <w:pPr>
              <w:pStyle w:val="Prrafodelista"/>
              <w:numPr>
                <w:ilvl w:val="0"/>
                <w:numId w:val="9"/>
              </w:numPr>
              <w:jc w:val="both"/>
              <w:rPr>
                <w:rFonts w:ascii="Arial" w:eastAsiaTheme="minorEastAsia" w:hAnsi="Arial"/>
                <w:sz w:val="20"/>
                <w:szCs w:val="20"/>
              </w:rPr>
            </w:pPr>
            <w:r w:rsidRPr="005A5A3D">
              <w:rPr>
                <w:rFonts w:ascii="Arial" w:eastAsiaTheme="minorEastAsia" w:hAnsi="Arial"/>
                <w:sz w:val="20"/>
                <w:szCs w:val="20"/>
              </w:rPr>
              <w:t>No se considera ninguna inversión que no sea un proyecto de inversión, dado que</w:t>
            </w:r>
            <w:r>
              <w:rPr>
                <w:rFonts w:ascii="Arial" w:eastAsiaTheme="minorEastAsia" w:hAnsi="Arial"/>
                <w:sz w:val="20"/>
                <w:szCs w:val="20"/>
              </w:rPr>
              <w:t xml:space="preserve"> las IOARR no garantizan que la intervención sobre la UP sea integral, por lo que no se puede determinar el valor de su contribución al cierre de brecha</w:t>
            </w:r>
            <w:r>
              <w:rPr>
                <w:rStyle w:val="Refdenotaalpie"/>
                <w:rFonts w:ascii="Arial" w:eastAsiaTheme="minorEastAsia" w:hAnsi="Arial"/>
                <w:sz w:val="20"/>
                <w:szCs w:val="20"/>
              </w:rPr>
              <w:footnoteReference w:id="11"/>
            </w:r>
            <w:r>
              <w:rPr>
                <w:rFonts w:ascii="Arial" w:eastAsiaTheme="minorEastAsia" w:hAnsi="Arial"/>
                <w:sz w:val="20"/>
                <w:szCs w:val="20"/>
              </w:rPr>
              <w:t>.</w:t>
            </w:r>
          </w:p>
          <w:p w14:paraId="6D96F2DC" w14:textId="77777777" w:rsidR="005A23AD" w:rsidRPr="00FE404C" w:rsidRDefault="005A23AD" w:rsidP="005A23AD">
            <w:pPr>
              <w:pStyle w:val="Prrafodelista"/>
              <w:numPr>
                <w:ilvl w:val="0"/>
                <w:numId w:val="9"/>
              </w:numPr>
              <w:jc w:val="both"/>
              <w:rPr>
                <w:rFonts w:ascii="Arial" w:eastAsiaTheme="minorEastAsia" w:hAnsi="Arial"/>
                <w:sz w:val="20"/>
                <w:szCs w:val="20"/>
              </w:rPr>
            </w:pPr>
            <w:r w:rsidRPr="00993ABF">
              <w:rPr>
                <w:rFonts w:ascii="Arial" w:eastAsiaTheme="minorEastAsia" w:hAnsi="Arial"/>
                <w:sz w:val="20"/>
                <w:szCs w:val="20"/>
              </w:rPr>
              <w:t xml:space="preserve">No se consideran </w:t>
            </w:r>
            <w:r>
              <w:rPr>
                <w:rFonts w:ascii="Arial" w:eastAsiaTheme="minorEastAsia" w:hAnsi="Arial"/>
                <w:sz w:val="20"/>
                <w:szCs w:val="20"/>
              </w:rPr>
              <w:t xml:space="preserve">las intervenciones consideradas como </w:t>
            </w:r>
            <w:r w:rsidRPr="00993ABF">
              <w:rPr>
                <w:rFonts w:ascii="Arial" w:eastAsiaTheme="minorEastAsia" w:hAnsi="Arial"/>
                <w:sz w:val="20"/>
                <w:szCs w:val="20"/>
              </w:rPr>
              <w:t>proyectos de inversión de solo capacitación</w:t>
            </w:r>
            <w:r w:rsidRPr="00FE404C">
              <w:rPr>
                <w:rFonts w:ascii="Arial" w:eastAsiaTheme="minorEastAsia" w:hAnsi="Arial"/>
                <w:sz w:val="20"/>
                <w:szCs w:val="20"/>
              </w:rPr>
              <w:t>, dado que estas acciones no están relacionadas a los factores productivos de infraestructura, mobiliario o equipamiento de las UP, por lo que no contribuyen al cierre de brechas de infraestructura.</w:t>
            </w:r>
          </w:p>
          <w:p w14:paraId="52EFE5B8" w14:textId="77777777" w:rsidR="005A23AD" w:rsidRPr="00DC1294" w:rsidRDefault="005A23AD" w:rsidP="005A23AD">
            <w:pPr>
              <w:pStyle w:val="Prrafodelista"/>
              <w:numPr>
                <w:ilvl w:val="0"/>
                <w:numId w:val="9"/>
              </w:numPr>
              <w:jc w:val="both"/>
              <w:rPr>
                <w:rFonts w:ascii="Arial" w:eastAsiaTheme="minorEastAsia" w:hAnsi="Arial"/>
                <w:sz w:val="20"/>
                <w:szCs w:val="20"/>
              </w:rPr>
            </w:pPr>
            <w:r w:rsidRPr="00993ABF">
              <w:rPr>
                <w:rFonts w:ascii="Arial" w:eastAsiaTheme="minorEastAsia" w:hAnsi="Arial"/>
                <w:sz w:val="20"/>
                <w:szCs w:val="20"/>
              </w:rPr>
              <w:t xml:space="preserve">No se consideran </w:t>
            </w:r>
            <w:r>
              <w:rPr>
                <w:rFonts w:ascii="Arial" w:eastAsiaTheme="minorEastAsia" w:hAnsi="Arial"/>
                <w:sz w:val="20"/>
                <w:szCs w:val="20"/>
              </w:rPr>
              <w:t>las intervenciones como</w:t>
            </w:r>
            <w:r w:rsidRPr="00993ABF">
              <w:rPr>
                <w:rFonts w:ascii="Arial" w:eastAsiaTheme="minorEastAsia" w:hAnsi="Arial"/>
                <w:sz w:val="20"/>
                <w:szCs w:val="20"/>
              </w:rPr>
              <w:t xml:space="preserve"> proyectos de inversión de solo compra de materiales</w:t>
            </w:r>
            <w:r>
              <w:rPr>
                <w:rFonts w:ascii="Arial" w:eastAsiaTheme="minorEastAsia" w:hAnsi="Arial"/>
                <w:sz w:val="20"/>
                <w:szCs w:val="20"/>
              </w:rPr>
              <w:t>,</w:t>
            </w:r>
            <w:r w:rsidRPr="00DC1294">
              <w:rPr>
                <w:rFonts w:ascii="Arial" w:eastAsiaTheme="minorEastAsia" w:hAnsi="Arial"/>
                <w:sz w:val="20"/>
                <w:szCs w:val="20"/>
              </w:rPr>
              <w:t xml:space="preserve"> dado que estas acciones no están relacionadas a los factores productivos de infraestructura, mobiliario o equipamiento de las UP, por lo que no contribuyen al cierre de brechas de infraestructura.</w:t>
            </w:r>
          </w:p>
          <w:p w14:paraId="584CB12A" w14:textId="77777777" w:rsidR="005A23AD" w:rsidRDefault="005A23AD" w:rsidP="005A23AD">
            <w:pPr>
              <w:pStyle w:val="Prrafodelista"/>
              <w:numPr>
                <w:ilvl w:val="0"/>
                <w:numId w:val="9"/>
              </w:numPr>
              <w:jc w:val="both"/>
              <w:rPr>
                <w:rFonts w:ascii="Arial" w:eastAsiaTheme="minorEastAsia" w:hAnsi="Arial"/>
                <w:sz w:val="20"/>
                <w:szCs w:val="20"/>
              </w:rPr>
            </w:pPr>
            <w:r w:rsidRPr="00993ABF">
              <w:rPr>
                <w:rFonts w:ascii="Arial" w:eastAsiaTheme="minorEastAsia" w:hAnsi="Arial"/>
                <w:sz w:val="20"/>
                <w:szCs w:val="20"/>
              </w:rPr>
              <w:t>No se consideran</w:t>
            </w:r>
            <w:r>
              <w:rPr>
                <w:rFonts w:ascii="Arial" w:eastAsiaTheme="minorEastAsia" w:hAnsi="Arial"/>
                <w:sz w:val="20"/>
                <w:szCs w:val="20"/>
              </w:rPr>
              <w:t xml:space="preserve"> las intervenciones como</w:t>
            </w:r>
            <w:r w:rsidRPr="00993ABF">
              <w:rPr>
                <w:rFonts w:ascii="Arial" w:eastAsiaTheme="minorEastAsia" w:hAnsi="Arial"/>
                <w:sz w:val="20"/>
                <w:szCs w:val="20"/>
              </w:rPr>
              <w:t xml:space="preserve"> proyectos de inversión de solo adquisición de ambientes prefabricados</w:t>
            </w:r>
            <w:r w:rsidRPr="00DC1294">
              <w:rPr>
                <w:rFonts w:ascii="Arial" w:eastAsiaTheme="minorEastAsia" w:hAnsi="Arial"/>
                <w:sz w:val="20"/>
                <w:szCs w:val="20"/>
              </w:rPr>
              <w:t>, dado que estos ambientes no tienen como objetivo el cierre de la brecha de infraestructura, solo se utilizan como contingencia mientras se realiza el proyecto de inversión con la infraestructura definitiva para la UP.</w:t>
            </w:r>
          </w:p>
          <w:p w14:paraId="113572A0" w14:textId="77777777" w:rsidR="005A23AD" w:rsidRDefault="005A23AD" w:rsidP="005A23AD">
            <w:pPr>
              <w:pStyle w:val="Prrafodelista"/>
              <w:numPr>
                <w:ilvl w:val="0"/>
                <w:numId w:val="9"/>
              </w:numPr>
              <w:jc w:val="both"/>
              <w:rPr>
                <w:rFonts w:ascii="Arial" w:eastAsiaTheme="minorEastAsia" w:hAnsi="Arial"/>
                <w:sz w:val="20"/>
                <w:szCs w:val="20"/>
              </w:rPr>
            </w:pPr>
            <w:r w:rsidRPr="00DC1294">
              <w:rPr>
                <w:rFonts w:ascii="Arial" w:eastAsiaTheme="minorEastAsia" w:hAnsi="Arial"/>
                <w:sz w:val="20"/>
                <w:szCs w:val="20"/>
              </w:rPr>
              <w:t>No se consideran inversiones que solo intervienen en activos intangibles, dado que estas acciones no están relacionadas a los factores productivos de infraestructura, mobiliario o equipamiento de las UP, por lo que no contribuyen al cierre de brechas de infraestructura. Cabe mencionar que, a la fecha, el Sector no cuenta con activos estratégicos intangibles identificados.</w:t>
            </w:r>
          </w:p>
          <w:p w14:paraId="4A7B19D9" w14:textId="77777777" w:rsidR="005A23AD" w:rsidRPr="00562C47" w:rsidRDefault="005A23AD" w:rsidP="005A23AD">
            <w:pPr>
              <w:pStyle w:val="Prrafodelista"/>
              <w:jc w:val="both"/>
              <w:rPr>
                <w:rFonts w:ascii="Arial" w:eastAsiaTheme="minorEastAsia" w:hAnsi="Arial"/>
                <w:sz w:val="20"/>
                <w:szCs w:val="20"/>
              </w:rPr>
            </w:pPr>
          </w:p>
          <w:p w14:paraId="6F9B7CBC" w14:textId="77777777" w:rsidR="005A23AD" w:rsidRDefault="005A23AD" w:rsidP="005A23AD">
            <w:pPr>
              <w:pStyle w:val="Prrafodelista"/>
              <w:numPr>
                <w:ilvl w:val="0"/>
                <w:numId w:val="2"/>
              </w:numPr>
              <w:autoSpaceDE w:val="0"/>
              <w:autoSpaceDN w:val="0"/>
              <w:jc w:val="both"/>
              <w:rPr>
                <w:rFonts w:ascii="Arial" w:eastAsiaTheme="minorEastAsia" w:hAnsi="Arial"/>
                <w:sz w:val="20"/>
                <w:szCs w:val="20"/>
              </w:rPr>
            </w:pPr>
            <w:r>
              <w:rPr>
                <w:rFonts w:ascii="Arial" w:eastAsiaTheme="minorEastAsia" w:hAnsi="Arial"/>
                <w:sz w:val="20"/>
                <w:szCs w:val="20"/>
              </w:rPr>
              <w:t xml:space="preserve">El equipo técnico de la Unidad de Programación e Inversiones (UPI) del Ministerio de Educación realiza la evaluación a las fuentes de información y determina una prioridad respecto a las mismas, según las siguientes precisiones: </w:t>
            </w:r>
          </w:p>
          <w:p w14:paraId="3B0D2F82" w14:textId="77777777" w:rsidR="005A23AD" w:rsidRDefault="005A23AD" w:rsidP="005A23AD">
            <w:pPr>
              <w:pStyle w:val="Prrafodelista"/>
              <w:rPr>
                <w:rFonts w:ascii="Arial" w:eastAsiaTheme="minorEastAsia" w:hAnsi="Arial"/>
                <w:sz w:val="20"/>
                <w:szCs w:val="20"/>
              </w:rPr>
            </w:pPr>
          </w:p>
          <w:p w14:paraId="03E467C5" w14:textId="77777777" w:rsidR="005A23AD" w:rsidRPr="003B66E9" w:rsidRDefault="005A23AD" w:rsidP="005A23AD">
            <w:pPr>
              <w:pStyle w:val="Prrafodelista"/>
              <w:numPr>
                <w:ilvl w:val="0"/>
                <w:numId w:val="3"/>
              </w:numPr>
              <w:jc w:val="both"/>
              <w:rPr>
                <w:rFonts w:ascii="Arial" w:eastAsiaTheme="minorEastAsia" w:hAnsi="Arial"/>
                <w:sz w:val="20"/>
                <w:szCs w:val="20"/>
              </w:rPr>
            </w:pPr>
            <w:r w:rsidRPr="00993ABF">
              <w:rPr>
                <w:rFonts w:ascii="Arial" w:eastAsiaTheme="minorEastAsia" w:hAnsi="Arial"/>
                <w:sz w:val="20"/>
                <w:szCs w:val="20"/>
              </w:rPr>
              <w:t xml:space="preserve">En caso la </w:t>
            </w:r>
            <w:r>
              <w:rPr>
                <w:rFonts w:ascii="Arial" w:eastAsiaTheme="minorEastAsia" w:hAnsi="Arial"/>
                <w:sz w:val="20"/>
                <w:szCs w:val="20"/>
              </w:rPr>
              <w:t>UP</w:t>
            </w:r>
            <w:r w:rsidRPr="00993ABF">
              <w:rPr>
                <w:rFonts w:ascii="Arial" w:eastAsiaTheme="minorEastAsia" w:hAnsi="Arial"/>
                <w:sz w:val="20"/>
                <w:szCs w:val="20"/>
              </w:rPr>
              <w:t xml:space="preserve"> se encuentre en la Base de Datos de Monitoreo del Estado de las Unidades Productoras en el Marco del Invierte.pe y en la  Base de Datos de Monitoreo del Plan Nacional de Infraestructura Educativa, se priorizará la información de la Base de Datos de Monitoreo del Estado de las Unidades Productoras en el Marco del Invierte.pe, ya que esta </w:t>
            </w:r>
            <w:r>
              <w:rPr>
                <w:rFonts w:ascii="Arial" w:eastAsiaTheme="minorEastAsia" w:hAnsi="Arial"/>
                <w:sz w:val="20"/>
                <w:szCs w:val="20"/>
              </w:rPr>
              <w:t>estima</w:t>
            </w:r>
            <w:r w:rsidRPr="00993ABF">
              <w:rPr>
                <w:rFonts w:ascii="Arial" w:eastAsiaTheme="minorEastAsia" w:hAnsi="Arial"/>
                <w:sz w:val="20"/>
                <w:szCs w:val="20"/>
              </w:rPr>
              <w:t xml:space="preserve"> el estado de las </w:t>
            </w:r>
            <w:r>
              <w:rPr>
                <w:rFonts w:ascii="Arial" w:eastAsiaTheme="minorEastAsia" w:hAnsi="Arial"/>
                <w:sz w:val="20"/>
                <w:szCs w:val="20"/>
              </w:rPr>
              <w:t>UP</w:t>
            </w:r>
            <w:r w:rsidRPr="00993ABF">
              <w:rPr>
                <w:rFonts w:ascii="Arial" w:eastAsiaTheme="minorEastAsia" w:hAnsi="Arial"/>
                <w:sz w:val="20"/>
                <w:szCs w:val="20"/>
              </w:rPr>
              <w:t xml:space="preserve"> con mayor precisión al ser el resultado de un análisis de las variables registradas por las UF y UEI en los sistemas asociados al Invierte.pe.</w:t>
            </w:r>
            <w:r>
              <w:rPr>
                <w:rFonts w:ascii="Arial" w:eastAsiaTheme="minorEastAsia" w:hAnsi="Arial"/>
                <w:sz w:val="20"/>
                <w:szCs w:val="20"/>
              </w:rPr>
              <w:t xml:space="preserve"> Esta base de datos es actualizada anualmente. </w:t>
            </w:r>
            <w:r w:rsidRPr="00993ABF">
              <w:rPr>
                <w:rFonts w:ascii="Arial" w:eastAsiaTheme="minorEastAsia" w:hAnsi="Arial"/>
                <w:sz w:val="20"/>
                <w:szCs w:val="20"/>
              </w:rPr>
              <w:t xml:space="preserve"> </w:t>
            </w:r>
            <w:r w:rsidRPr="003B66E9">
              <w:rPr>
                <w:rFonts w:ascii="Arial" w:eastAsiaTheme="minorEastAsia" w:hAnsi="Arial"/>
                <w:sz w:val="20"/>
                <w:szCs w:val="20"/>
              </w:rPr>
              <w:t xml:space="preserve"> </w:t>
            </w:r>
          </w:p>
          <w:p w14:paraId="6C6DA65D" w14:textId="77777777" w:rsidR="005A23AD" w:rsidRPr="003B66E9" w:rsidRDefault="005A23AD" w:rsidP="005A23AD">
            <w:pPr>
              <w:pStyle w:val="Prrafodelista"/>
              <w:numPr>
                <w:ilvl w:val="0"/>
                <w:numId w:val="3"/>
              </w:numPr>
              <w:jc w:val="both"/>
              <w:rPr>
                <w:rFonts w:ascii="Arial" w:eastAsiaTheme="minorEastAsia" w:hAnsi="Arial"/>
                <w:sz w:val="20"/>
                <w:szCs w:val="20"/>
              </w:rPr>
            </w:pPr>
            <w:r w:rsidRPr="003B66E9">
              <w:rPr>
                <w:rFonts w:ascii="Arial" w:eastAsiaTheme="minorEastAsia" w:hAnsi="Arial"/>
                <w:sz w:val="20"/>
                <w:szCs w:val="20"/>
              </w:rPr>
              <w:t xml:space="preserve">En caso la UP se encuentre en la base de datos de monitoreo del Plan Nacional de Infraestructura Educativa y también en la base del Censo Escolar, se priorizará la información de la Base de Datos de Monitoreo del Plan Nacional de Infraestructura Educativa, ya que esta es la fuente oficial técnica en cuanto al estado de la infraestructura educativa y la base del Censo Educativo es una base cuyo registro lo realizan los directores de las </w:t>
            </w:r>
            <w:r>
              <w:rPr>
                <w:rFonts w:ascii="Arial" w:eastAsiaTheme="minorEastAsia" w:hAnsi="Arial"/>
                <w:sz w:val="20"/>
                <w:szCs w:val="20"/>
              </w:rPr>
              <w:t>instituciones educativas</w:t>
            </w:r>
            <w:r w:rsidRPr="003B66E9">
              <w:rPr>
                <w:rFonts w:ascii="Arial" w:eastAsiaTheme="minorEastAsia" w:hAnsi="Arial"/>
                <w:sz w:val="20"/>
                <w:szCs w:val="20"/>
              </w:rPr>
              <w:t xml:space="preserve">. </w:t>
            </w:r>
          </w:p>
          <w:p w14:paraId="459427A9" w14:textId="77777777" w:rsidR="005A23AD" w:rsidRPr="003B66E9" w:rsidRDefault="005A23AD" w:rsidP="005A23AD">
            <w:pPr>
              <w:pStyle w:val="Prrafodelista"/>
              <w:numPr>
                <w:ilvl w:val="0"/>
                <w:numId w:val="3"/>
              </w:numPr>
              <w:jc w:val="both"/>
              <w:rPr>
                <w:rFonts w:ascii="Arial" w:eastAsiaTheme="minorEastAsia" w:hAnsi="Arial"/>
                <w:sz w:val="20"/>
                <w:szCs w:val="20"/>
              </w:rPr>
            </w:pPr>
            <w:r w:rsidRPr="003B66E9">
              <w:rPr>
                <w:rFonts w:ascii="Arial" w:eastAsiaTheme="minorEastAsia" w:hAnsi="Arial"/>
                <w:sz w:val="20"/>
                <w:szCs w:val="20"/>
              </w:rPr>
              <w:t>En caso</w:t>
            </w:r>
            <w:r>
              <w:rPr>
                <w:rFonts w:ascii="Arial" w:eastAsiaTheme="minorEastAsia" w:hAnsi="Arial"/>
                <w:sz w:val="20"/>
                <w:szCs w:val="20"/>
              </w:rPr>
              <w:t xml:space="preserve"> la UP solo se encuentre en el Censo Educativo, se tomará esta información. Cabe señalar que este censo se realiza anualmente y recoge información detallada de las instituciones educativas, públicas y privadas, de todo el país, según lo declarado y registrado por el director de la institución educativa.</w:t>
            </w:r>
          </w:p>
          <w:p w14:paraId="5FC24B32" w14:textId="77777777" w:rsidR="005A23AD" w:rsidRPr="003B66E9" w:rsidRDefault="005A23AD" w:rsidP="005A23AD">
            <w:pPr>
              <w:ind w:left="720"/>
              <w:jc w:val="both"/>
              <w:rPr>
                <w:rFonts w:ascii="Arial" w:eastAsiaTheme="minorEastAsia" w:hAnsi="Arial"/>
                <w:sz w:val="20"/>
                <w:szCs w:val="20"/>
              </w:rPr>
            </w:pPr>
            <w:r w:rsidRPr="003B66E9">
              <w:rPr>
                <w:rFonts w:ascii="Arial" w:eastAsiaTheme="minorEastAsia" w:hAnsi="Arial"/>
                <w:sz w:val="20"/>
                <w:szCs w:val="20"/>
              </w:rPr>
              <w:t xml:space="preserve">En resumen, el </w:t>
            </w:r>
            <w:r w:rsidRPr="00993ABF">
              <w:rPr>
                <w:rFonts w:ascii="Arial" w:eastAsiaTheme="minorEastAsia" w:hAnsi="Arial"/>
                <w:sz w:val="20"/>
                <w:szCs w:val="20"/>
              </w:rPr>
              <w:t xml:space="preserve">nivel de confianza y precisión sobre el estado de las </w:t>
            </w:r>
            <w:r>
              <w:rPr>
                <w:rFonts w:ascii="Arial" w:eastAsiaTheme="minorEastAsia" w:hAnsi="Arial"/>
                <w:sz w:val="20"/>
                <w:szCs w:val="20"/>
              </w:rPr>
              <w:t>UP</w:t>
            </w:r>
            <w:r w:rsidRPr="00993ABF">
              <w:rPr>
                <w:rFonts w:ascii="Arial" w:eastAsiaTheme="minorEastAsia" w:hAnsi="Arial"/>
                <w:sz w:val="20"/>
                <w:szCs w:val="20"/>
              </w:rPr>
              <w:t xml:space="preserve"> </w:t>
            </w:r>
            <w:r w:rsidRPr="003B66E9">
              <w:rPr>
                <w:rFonts w:ascii="Arial" w:eastAsiaTheme="minorEastAsia" w:hAnsi="Arial"/>
                <w:sz w:val="20"/>
                <w:szCs w:val="20"/>
              </w:rPr>
              <w:t>de acuerdo con</w:t>
            </w:r>
            <w:r w:rsidRPr="00993ABF">
              <w:rPr>
                <w:rFonts w:ascii="Arial" w:eastAsiaTheme="minorEastAsia" w:hAnsi="Arial"/>
                <w:sz w:val="20"/>
                <w:szCs w:val="20"/>
              </w:rPr>
              <w:t xml:space="preserve"> lo expuesto guarda la siguiente relación: A&gt;B&gt;C.</w:t>
            </w:r>
          </w:p>
          <w:p w14:paraId="3BCB9DF9" w14:textId="77777777" w:rsidR="005A23AD" w:rsidRPr="00993ABF" w:rsidRDefault="005A23AD" w:rsidP="005A23AD">
            <w:pPr>
              <w:pStyle w:val="Prrafodelista"/>
              <w:autoSpaceDE w:val="0"/>
              <w:autoSpaceDN w:val="0"/>
              <w:jc w:val="both"/>
              <w:rPr>
                <w:rFonts w:ascii="Arial" w:eastAsiaTheme="minorEastAsia" w:hAnsi="Arial"/>
                <w:sz w:val="20"/>
                <w:szCs w:val="20"/>
              </w:rPr>
            </w:pPr>
            <w:r w:rsidRPr="00993ABF">
              <w:rPr>
                <w:rFonts w:ascii="Arial" w:eastAsiaTheme="minorEastAsia" w:hAnsi="Arial"/>
                <w:sz w:val="20"/>
                <w:szCs w:val="20"/>
              </w:rPr>
              <w:t>Donde:</w:t>
            </w:r>
          </w:p>
          <w:p w14:paraId="0D782703" w14:textId="77777777" w:rsidR="005A23AD" w:rsidRDefault="005A23AD" w:rsidP="005A23AD">
            <w:pPr>
              <w:pStyle w:val="Prrafodelista"/>
              <w:ind w:left="1068"/>
              <w:rPr>
                <w:rFonts w:ascii="Arial" w:hAnsi="Arial"/>
                <w:sz w:val="20"/>
                <w:szCs w:val="20"/>
              </w:rPr>
            </w:pPr>
          </w:p>
          <w:p w14:paraId="557D517D" w14:textId="77777777" w:rsidR="005A23AD" w:rsidRDefault="005A23AD" w:rsidP="005A23AD">
            <w:pPr>
              <w:pStyle w:val="Prrafodelista"/>
              <w:ind w:left="1068"/>
            </w:pPr>
            <w:r>
              <w:rPr>
                <w:rFonts w:ascii="Arial" w:hAnsi="Arial"/>
                <w:sz w:val="20"/>
                <w:szCs w:val="20"/>
              </w:rPr>
              <w:t>A: “</w:t>
            </w:r>
            <w:r w:rsidRPr="006C1E85">
              <w:rPr>
                <w:rFonts w:ascii="Arial" w:hAnsi="Arial"/>
                <w:sz w:val="20"/>
                <w:szCs w:val="20"/>
              </w:rPr>
              <w:t>Base de Datos de Monitoreo del Estado las Unidades Productoras en el Marco del Invierte.pe.</w:t>
            </w:r>
            <w:r>
              <w:rPr>
                <w:rFonts w:ascii="Arial" w:hAnsi="Arial"/>
                <w:sz w:val="20"/>
                <w:szCs w:val="20"/>
              </w:rPr>
              <w:t>”</w:t>
            </w:r>
          </w:p>
          <w:p w14:paraId="43AC197A" w14:textId="77777777" w:rsidR="005A23AD" w:rsidRDefault="005A23AD" w:rsidP="005A23AD">
            <w:pPr>
              <w:pStyle w:val="Prrafodelista"/>
              <w:spacing w:before="240" w:after="120"/>
              <w:ind w:left="1068"/>
              <w:jc w:val="both"/>
              <w:rPr>
                <w:rFonts w:ascii="Arial" w:hAnsi="Arial"/>
                <w:sz w:val="20"/>
                <w:szCs w:val="20"/>
              </w:rPr>
            </w:pPr>
            <w:r>
              <w:rPr>
                <w:rFonts w:ascii="Arial" w:hAnsi="Arial"/>
                <w:sz w:val="20"/>
                <w:szCs w:val="20"/>
              </w:rPr>
              <w:t xml:space="preserve">B: </w:t>
            </w:r>
            <w:r w:rsidRPr="006C1E85">
              <w:rPr>
                <w:rFonts w:ascii="Arial" w:hAnsi="Arial"/>
                <w:sz w:val="20"/>
                <w:szCs w:val="20"/>
              </w:rPr>
              <w:t>"Base de Datos de Monitoreo del Plan Nacional de Infraestructura Educativa"</w:t>
            </w:r>
          </w:p>
          <w:p w14:paraId="3C5A3AD5" w14:textId="77777777" w:rsidR="005A23AD" w:rsidRPr="00040D30" w:rsidRDefault="005A23AD" w:rsidP="005A23AD">
            <w:pPr>
              <w:pStyle w:val="Prrafodelista"/>
              <w:spacing w:before="240" w:after="120"/>
              <w:ind w:left="1068"/>
              <w:jc w:val="both"/>
              <w:rPr>
                <w:rFonts w:ascii="Arial" w:hAnsi="Arial"/>
                <w:sz w:val="20"/>
                <w:szCs w:val="20"/>
                <w:lang w:val="es-MX"/>
              </w:rPr>
            </w:pPr>
            <w:r>
              <w:rPr>
                <w:rFonts w:ascii="Arial" w:hAnsi="Arial"/>
                <w:sz w:val="20"/>
                <w:szCs w:val="20"/>
              </w:rPr>
              <w:t>C: “Censo Educativo”</w:t>
            </w:r>
          </w:p>
          <w:p w14:paraId="6C8FCB3A" w14:textId="77777777" w:rsidR="005A23AD" w:rsidRPr="00B90882" w:rsidRDefault="005A23AD" w:rsidP="005A23AD">
            <w:pPr>
              <w:pStyle w:val="Prrafodelista"/>
              <w:autoSpaceDE w:val="0"/>
              <w:autoSpaceDN w:val="0"/>
              <w:jc w:val="both"/>
              <w:rPr>
                <w:rFonts w:ascii="Arial" w:eastAsiaTheme="minorEastAsia" w:hAnsi="Arial"/>
                <w:sz w:val="20"/>
                <w:szCs w:val="20"/>
              </w:rPr>
            </w:pPr>
          </w:p>
          <w:p w14:paraId="637465B5" w14:textId="77777777" w:rsidR="005A23AD" w:rsidRDefault="005A23AD" w:rsidP="005A23AD">
            <w:pPr>
              <w:pStyle w:val="Prrafodelista"/>
              <w:numPr>
                <w:ilvl w:val="0"/>
                <w:numId w:val="2"/>
              </w:numPr>
              <w:jc w:val="both"/>
              <w:rPr>
                <w:rFonts w:ascii="Arial" w:eastAsiaTheme="minorEastAsia" w:hAnsi="Arial"/>
                <w:sz w:val="20"/>
                <w:szCs w:val="20"/>
              </w:rPr>
            </w:pPr>
            <w:r w:rsidRPr="00740572">
              <w:rPr>
                <w:rFonts w:ascii="Arial" w:eastAsiaTheme="minorEastAsia" w:hAnsi="Arial"/>
                <w:sz w:val="20"/>
                <w:szCs w:val="20"/>
              </w:rPr>
              <w:t>Se considera como año de línea base el año 20</w:t>
            </w:r>
            <w:r>
              <w:rPr>
                <w:rFonts w:ascii="Arial" w:eastAsiaTheme="minorEastAsia" w:hAnsi="Arial"/>
                <w:sz w:val="20"/>
                <w:szCs w:val="20"/>
              </w:rPr>
              <w:t>22</w:t>
            </w:r>
            <w:r w:rsidRPr="00740572">
              <w:rPr>
                <w:rFonts w:ascii="Arial" w:eastAsiaTheme="minorEastAsia" w:hAnsi="Arial"/>
                <w:sz w:val="20"/>
                <w:szCs w:val="20"/>
              </w:rPr>
              <w:t xml:space="preserve">, debido a que </w:t>
            </w:r>
            <w:r>
              <w:rPr>
                <w:rFonts w:ascii="Arial" w:eastAsiaTheme="minorEastAsia" w:hAnsi="Arial"/>
                <w:sz w:val="20"/>
                <w:szCs w:val="20"/>
              </w:rPr>
              <w:t>es el año en que se modifica y mide por primera vez el indicador.</w:t>
            </w:r>
          </w:p>
          <w:p w14:paraId="036EB17E" w14:textId="77777777" w:rsidR="005A23AD" w:rsidRDefault="005A23AD" w:rsidP="005A23AD">
            <w:pPr>
              <w:pStyle w:val="Prrafodelista"/>
              <w:jc w:val="both"/>
              <w:rPr>
                <w:rFonts w:ascii="Arial" w:eastAsiaTheme="minorEastAsia" w:hAnsi="Arial"/>
                <w:sz w:val="20"/>
                <w:szCs w:val="20"/>
              </w:rPr>
            </w:pPr>
          </w:p>
          <w:p w14:paraId="489BCEFE" w14:textId="77777777" w:rsidR="005A23AD" w:rsidRDefault="005A23AD" w:rsidP="005A23AD">
            <w:pPr>
              <w:pStyle w:val="Prrafodelista"/>
              <w:numPr>
                <w:ilvl w:val="0"/>
                <w:numId w:val="2"/>
              </w:numPr>
              <w:jc w:val="both"/>
              <w:rPr>
                <w:rFonts w:ascii="Arial" w:eastAsiaTheme="minorEastAsia" w:hAnsi="Arial"/>
                <w:sz w:val="20"/>
                <w:szCs w:val="20"/>
              </w:rPr>
            </w:pPr>
            <w:r w:rsidRPr="00EB4CE9">
              <w:rPr>
                <w:rFonts w:ascii="Arial" w:eastAsiaTheme="minorEastAsia" w:hAnsi="Arial"/>
                <w:sz w:val="20"/>
                <w:szCs w:val="20"/>
              </w:rPr>
              <w:lastRenderedPageBreak/>
              <w:t xml:space="preserve">El universo de </w:t>
            </w:r>
            <w:r>
              <w:rPr>
                <w:rFonts w:ascii="Arial" w:eastAsiaTheme="minorEastAsia" w:hAnsi="Arial"/>
                <w:sz w:val="20"/>
                <w:szCs w:val="20"/>
              </w:rPr>
              <w:t>UP</w:t>
            </w:r>
            <w:r w:rsidRPr="00815E51">
              <w:rPr>
                <w:rFonts w:ascii="Arial" w:eastAsiaTheme="minorEastAsia" w:hAnsi="Arial"/>
                <w:sz w:val="20"/>
                <w:szCs w:val="20"/>
              </w:rPr>
              <w:t xml:space="preserve"> asociados al servicio de secundaria </w:t>
            </w:r>
            <w:r w:rsidRPr="00815E51">
              <w:rPr>
                <w:rFonts w:ascii="Arial" w:hAnsi="Arial" w:cs="Arial"/>
                <w:sz w:val="20"/>
              </w:rPr>
              <w:t xml:space="preserve">sobre las cuales se aplicará el método de </w:t>
            </w:r>
            <w:proofErr w:type="gramStart"/>
            <w:r w:rsidRPr="00815E51">
              <w:rPr>
                <w:rFonts w:ascii="Arial" w:hAnsi="Arial" w:cs="Arial"/>
                <w:sz w:val="20"/>
              </w:rPr>
              <w:t>cálculo,</w:t>
            </w:r>
            <w:proofErr w:type="gramEnd"/>
            <w:r w:rsidRPr="00815E51">
              <w:rPr>
                <w:rFonts w:ascii="Arial" w:hAnsi="Arial" w:cs="Arial"/>
                <w:sz w:val="20"/>
              </w:rPr>
              <w:t xml:space="preserve"> queda identificado por las </w:t>
            </w:r>
            <w:r>
              <w:rPr>
                <w:rFonts w:ascii="Arial" w:hAnsi="Arial" w:cs="Arial"/>
                <w:sz w:val="20"/>
              </w:rPr>
              <w:t>UP</w:t>
            </w:r>
            <w:r w:rsidRPr="00815E51">
              <w:rPr>
                <w:rFonts w:ascii="Arial" w:hAnsi="Arial" w:cs="Arial"/>
                <w:sz w:val="20"/>
              </w:rPr>
              <w:t xml:space="preserve"> asociadas a las </w:t>
            </w:r>
            <w:r>
              <w:rPr>
                <w:rFonts w:ascii="Arial" w:hAnsi="Arial" w:cs="Arial"/>
                <w:sz w:val="20"/>
              </w:rPr>
              <w:t xml:space="preserve">instituciones educativas </w:t>
            </w:r>
            <w:r w:rsidRPr="00815E51">
              <w:rPr>
                <w:rFonts w:ascii="Arial" w:eastAsiaTheme="minorEastAsia" w:hAnsi="Arial"/>
                <w:sz w:val="20"/>
                <w:szCs w:val="20"/>
              </w:rPr>
              <w:t xml:space="preserve">que desarrollan el </w:t>
            </w:r>
            <w:r>
              <w:rPr>
                <w:rFonts w:ascii="Arial" w:eastAsiaTheme="minorEastAsia" w:hAnsi="Arial"/>
                <w:sz w:val="20"/>
                <w:szCs w:val="20"/>
              </w:rPr>
              <w:t>MSE Sobresaliente.</w:t>
            </w:r>
          </w:p>
          <w:p w14:paraId="785BAF9F" w14:textId="307B5ED3" w:rsidR="002C6B38" w:rsidRPr="003C33F5" w:rsidRDefault="002C6B38" w:rsidP="002C6B38">
            <w:pPr>
              <w:rPr>
                <w:rFonts w:ascii="Arial" w:hAnsi="Arial" w:cs="Arial"/>
                <w:color w:val="FF0000"/>
                <w:sz w:val="18"/>
                <w:szCs w:val="20"/>
              </w:rPr>
            </w:pPr>
          </w:p>
        </w:tc>
      </w:tr>
      <w:tr w:rsidR="00791F61" w:rsidRPr="00791F61" w14:paraId="49E55D8F"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9A6AA70" w14:textId="0F9AF34E" w:rsidR="002C6B38" w:rsidRPr="00791F61" w:rsidRDefault="002C6B38" w:rsidP="002C6B38">
            <w:pPr>
              <w:rPr>
                <w:rFonts w:ascii="Arial" w:hAnsi="Arial" w:cs="Arial"/>
                <w:sz w:val="18"/>
                <w:szCs w:val="20"/>
              </w:rPr>
            </w:pPr>
            <w:r w:rsidRPr="00791F61">
              <w:rPr>
                <w:rFonts w:ascii="Arial" w:hAnsi="Arial" w:cs="Arial"/>
                <w:b/>
                <w:bCs/>
                <w:szCs w:val="20"/>
              </w:rPr>
              <w:lastRenderedPageBreak/>
              <w:t>Supuestos</w:t>
            </w:r>
          </w:p>
        </w:tc>
      </w:tr>
      <w:tr w:rsidR="003C33F5" w:rsidRPr="003C33F5" w14:paraId="0A28DBD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0EAB48A2" w14:textId="77777777" w:rsidR="00791F61" w:rsidRDefault="00791F61" w:rsidP="00791F61">
            <w:pPr>
              <w:pStyle w:val="Prrafodelista"/>
              <w:numPr>
                <w:ilvl w:val="0"/>
                <w:numId w:val="5"/>
              </w:numPr>
              <w:autoSpaceDE w:val="0"/>
              <w:autoSpaceDN w:val="0"/>
              <w:jc w:val="both"/>
              <w:rPr>
                <w:rFonts w:ascii="Arial" w:hAnsi="Arial"/>
                <w:sz w:val="20"/>
                <w:szCs w:val="20"/>
              </w:rPr>
            </w:pPr>
            <w:r>
              <w:rPr>
                <w:rFonts w:ascii="Arial" w:hAnsi="Arial"/>
                <w:sz w:val="20"/>
                <w:szCs w:val="20"/>
              </w:rPr>
              <w:t>Los directores de las instituciones educativas no tienen incentivo</w:t>
            </w:r>
            <w:r w:rsidRPr="00E35A37">
              <w:rPr>
                <w:rFonts w:ascii="Arial" w:hAnsi="Arial"/>
                <w:sz w:val="20"/>
                <w:szCs w:val="20"/>
              </w:rPr>
              <w:t xml:space="preserve"> para declarar en el Censo Escolar que una infraestructura que se encuentra en malas condiciones </w:t>
            </w:r>
            <w:r>
              <w:rPr>
                <w:rFonts w:ascii="Arial" w:hAnsi="Arial"/>
                <w:sz w:val="20"/>
                <w:szCs w:val="20"/>
              </w:rPr>
              <w:t>está</w:t>
            </w:r>
            <w:r w:rsidRPr="00E35A37">
              <w:rPr>
                <w:rFonts w:ascii="Arial" w:hAnsi="Arial"/>
                <w:sz w:val="20"/>
                <w:szCs w:val="20"/>
              </w:rPr>
              <w:t xml:space="preserve"> en buenas condiciones.</w:t>
            </w:r>
          </w:p>
          <w:p w14:paraId="5C0E2F5D" w14:textId="77777777" w:rsidR="00791F61" w:rsidRPr="00E35A37" w:rsidRDefault="00791F61" w:rsidP="00791F61">
            <w:pPr>
              <w:pStyle w:val="Prrafodelista"/>
              <w:numPr>
                <w:ilvl w:val="0"/>
                <w:numId w:val="5"/>
              </w:numPr>
              <w:autoSpaceDE w:val="0"/>
              <w:autoSpaceDN w:val="0"/>
              <w:jc w:val="both"/>
              <w:rPr>
                <w:rFonts w:ascii="Arial" w:hAnsi="Arial"/>
                <w:sz w:val="20"/>
                <w:szCs w:val="20"/>
              </w:rPr>
            </w:pPr>
            <w:r>
              <w:rPr>
                <w:rFonts w:ascii="Arial" w:hAnsi="Arial"/>
                <w:sz w:val="20"/>
                <w:szCs w:val="20"/>
              </w:rPr>
              <w:t>Los activos estratégicos comunes entre dos o más UP que se encuentran dentro de un local educativo no generan duplicidad de intervenciones o registros dentro de un inventario de activos.</w:t>
            </w:r>
          </w:p>
          <w:p w14:paraId="273BEBB0" w14:textId="77777777" w:rsidR="00791F61" w:rsidRPr="00B90882" w:rsidRDefault="00791F61" w:rsidP="00791F61">
            <w:pPr>
              <w:pStyle w:val="Prrafodelista"/>
              <w:numPr>
                <w:ilvl w:val="0"/>
                <w:numId w:val="5"/>
              </w:numPr>
              <w:autoSpaceDE w:val="0"/>
              <w:autoSpaceDN w:val="0"/>
              <w:jc w:val="both"/>
              <w:rPr>
                <w:rFonts w:ascii="Arial" w:hAnsi="Arial"/>
                <w:sz w:val="20"/>
                <w:szCs w:val="20"/>
              </w:rPr>
            </w:pPr>
            <w:r w:rsidRPr="00B90882">
              <w:rPr>
                <w:rFonts w:ascii="Arial" w:hAnsi="Arial"/>
                <w:sz w:val="20"/>
                <w:szCs w:val="20"/>
              </w:rPr>
              <w:t>El valor de la sumatoria del nivel de inadecuación de l</w:t>
            </w:r>
            <w:r>
              <w:rPr>
                <w:rFonts w:ascii="Arial" w:hAnsi="Arial"/>
                <w:sz w:val="20"/>
                <w:szCs w:val="20"/>
              </w:rPr>
              <w:t>as UP</w:t>
            </w:r>
            <w:r w:rsidRPr="00B90882">
              <w:rPr>
                <w:rFonts w:ascii="Arial" w:hAnsi="Arial"/>
                <w:sz w:val="20"/>
                <w:szCs w:val="20"/>
              </w:rPr>
              <w:t xml:space="preserve"> de una determinada área representa numéricamente la cantidad de </w:t>
            </w:r>
            <w:r>
              <w:rPr>
                <w:rFonts w:ascii="Arial" w:hAnsi="Arial"/>
                <w:sz w:val="20"/>
                <w:szCs w:val="20"/>
              </w:rPr>
              <w:t>UP</w:t>
            </w:r>
            <w:r w:rsidRPr="00B90882">
              <w:rPr>
                <w:rFonts w:ascii="Arial" w:hAnsi="Arial"/>
                <w:sz w:val="20"/>
                <w:szCs w:val="20"/>
              </w:rPr>
              <w:t xml:space="preserve"> que se encuentra</w:t>
            </w:r>
            <w:r>
              <w:rPr>
                <w:rFonts w:ascii="Arial" w:hAnsi="Arial"/>
                <w:sz w:val="20"/>
                <w:szCs w:val="20"/>
              </w:rPr>
              <w:t>n en estado</w:t>
            </w:r>
            <w:r w:rsidRPr="00B90882">
              <w:rPr>
                <w:rFonts w:ascii="Arial" w:hAnsi="Arial"/>
                <w:sz w:val="20"/>
                <w:szCs w:val="20"/>
              </w:rPr>
              <w:t xml:space="preserve"> inadecuado.</w:t>
            </w:r>
          </w:p>
          <w:p w14:paraId="40CD7DCD" w14:textId="77777777" w:rsidR="00791F61" w:rsidRDefault="00791F61" w:rsidP="00791F61">
            <w:pPr>
              <w:pStyle w:val="Prrafodelista"/>
              <w:numPr>
                <w:ilvl w:val="0"/>
                <w:numId w:val="5"/>
              </w:numPr>
              <w:jc w:val="both"/>
              <w:rPr>
                <w:rFonts w:ascii="Arial" w:hAnsi="Arial"/>
                <w:sz w:val="20"/>
                <w:szCs w:val="20"/>
              </w:rPr>
            </w:pPr>
            <w:r w:rsidRPr="00AA60BE">
              <w:rPr>
                <w:rFonts w:ascii="Arial" w:hAnsi="Arial"/>
                <w:sz w:val="20"/>
                <w:szCs w:val="20"/>
              </w:rPr>
              <w:t xml:space="preserve">Un proyecto se encuentra culminado cuando </w:t>
            </w:r>
            <w:r>
              <w:rPr>
                <w:rFonts w:ascii="Arial" w:hAnsi="Arial"/>
                <w:sz w:val="20"/>
                <w:szCs w:val="20"/>
              </w:rPr>
              <w:t>se encuentra registrado como inversión culminada en el sistema del Banco de Inversiones de la DGPMI del MEF</w:t>
            </w:r>
            <w:r w:rsidRPr="00DF5C83">
              <w:rPr>
                <w:rFonts w:ascii="Arial" w:hAnsi="Arial"/>
                <w:sz w:val="20"/>
                <w:szCs w:val="20"/>
              </w:rPr>
              <w:t xml:space="preserve">; </w:t>
            </w:r>
            <w:r w:rsidRPr="00993ABF">
              <w:rPr>
                <w:rFonts w:ascii="Arial" w:hAnsi="Arial"/>
                <w:sz w:val="20"/>
                <w:szCs w:val="20"/>
              </w:rPr>
              <w:t xml:space="preserve">o </w:t>
            </w:r>
            <w:r>
              <w:rPr>
                <w:rFonts w:ascii="Arial" w:hAnsi="Arial"/>
                <w:sz w:val="20"/>
                <w:szCs w:val="20"/>
              </w:rPr>
              <w:t>cuenta</w:t>
            </w:r>
            <w:r w:rsidRPr="00993ABF">
              <w:rPr>
                <w:rFonts w:ascii="Arial" w:hAnsi="Arial"/>
                <w:sz w:val="20"/>
                <w:szCs w:val="20"/>
              </w:rPr>
              <w:t xml:space="preserve"> con el registro del Formato </w:t>
            </w:r>
            <w:proofErr w:type="spellStart"/>
            <w:r w:rsidRPr="00993ABF">
              <w:rPr>
                <w:rFonts w:ascii="Arial" w:hAnsi="Arial"/>
                <w:sz w:val="20"/>
                <w:szCs w:val="20"/>
              </w:rPr>
              <w:t>N°</w:t>
            </w:r>
            <w:proofErr w:type="spellEnd"/>
            <w:r w:rsidRPr="00993ABF">
              <w:rPr>
                <w:rFonts w:ascii="Arial" w:hAnsi="Arial"/>
                <w:sz w:val="20"/>
                <w:szCs w:val="20"/>
              </w:rPr>
              <w:t xml:space="preserve"> 9: Registro de Cierre de Inversión, hasta la sección B: Inversión Culminada (pendiente de liquidación física y financiera)</w:t>
            </w:r>
            <w:r w:rsidRPr="00DF5C83">
              <w:rPr>
                <w:rFonts w:ascii="Arial" w:hAnsi="Arial"/>
                <w:sz w:val="20"/>
                <w:szCs w:val="20"/>
              </w:rPr>
              <w:t>.</w:t>
            </w:r>
          </w:p>
          <w:p w14:paraId="26600A86" w14:textId="77777777" w:rsidR="00791F61" w:rsidRDefault="00791F61" w:rsidP="00791F61">
            <w:pPr>
              <w:pStyle w:val="Prrafodelista"/>
              <w:numPr>
                <w:ilvl w:val="0"/>
                <w:numId w:val="5"/>
              </w:numPr>
              <w:jc w:val="both"/>
              <w:rPr>
                <w:rFonts w:ascii="Arial" w:hAnsi="Arial"/>
                <w:sz w:val="20"/>
                <w:szCs w:val="20"/>
              </w:rPr>
            </w:pPr>
            <w:r>
              <w:rPr>
                <w:rFonts w:ascii="Arial" w:hAnsi="Arial"/>
                <w:sz w:val="20"/>
                <w:szCs w:val="20"/>
              </w:rPr>
              <w:t>Las UF y UEI realizan un registro adecuado de las inversiones en el Banco de Inversiones.</w:t>
            </w:r>
          </w:p>
          <w:p w14:paraId="4D80837B" w14:textId="77777777" w:rsidR="00791F61" w:rsidRDefault="00791F61" w:rsidP="00791F61">
            <w:pPr>
              <w:pStyle w:val="Prrafodelista"/>
              <w:numPr>
                <w:ilvl w:val="0"/>
                <w:numId w:val="5"/>
              </w:numPr>
              <w:jc w:val="both"/>
              <w:rPr>
                <w:rFonts w:ascii="Arial" w:hAnsi="Arial"/>
                <w:sz w:val="20"/>
                <w:szCs w:val="20"/>
              </w:rPr>
            </w:pPr>
            <w:r w:rsidRPr="00DD57CA">
              <w:rPr>
                <w:rFonts w:ascii="Arial" w:hAnsi="Arial"/>
                <w:sz w:val="20"/>
                <w:szCs w:val="20"/>
              </w:rPr>
              <w:t>Las inversiones fueron formuladas</w:t>
            </w:r>
            <w:r>
              <w:rPr>
                <w:rFonts w:ascii="Arial" w:hAnsi="Arial"/>
                <w:sz w:val="20"/>
                <w:szCs w:val="20"/>
              </w:rPr>
              <w:t xml:space="preserve"> y elaboradas</w:t>
            </w:r>
            <w:r w:rsidRPr="004C2993">
              <w:rPr>
                <w:rFonts w:ascii="Arial" w:hAnsi="Arial"/>
                <w:sz w:val="20"/>
                <w:szCs w:val="20"/>
              </w:rPr>
              <w:t xml:space="preserve"> siguiendo la Guía General para la Identificación, Formulación y Evaluación de Proyectos de Inversión, </w:t>
            </w:r>
            <w:r>
              <w:rPr>
                <w:rFonts w:ascii="Arial" w:hAnsi="Arial"/>
                <w:sz w:val="20"/>
                <w:szCs w:val="20"/>
              </w:rPr>
              <w:t xml:space="preserve">los </w:t>
            </w:r>
            <w:r w:rsidRPr="009B2B41">
              <w:rPr>
                <w:rFonts w:ascii="Arial" w:hAnsi="Arial"/>
                <w:sz w:val="20"/>
                <w:szCs w:val="20"/>
              </w:rPr>
              <w:t>Lineamientos para la identificación y registro de las Inversiones de Optimización, de Ampliación Marginal, de Rehabilitación y de Reposición</w:t>
            </w:r>
            <w:r>
              <w:rPr>
                <w:rFonts w:ascii="Arial" w:eastAsiaTheme="minorEastAsia" w:hAnsi="Arial"/>
                <w:sz w:val="20"/>
                <w:szCs w:val="20"/>
              </w:rPr>
              <w:t xml:space="preserve"> (</w:t>
            </w:r>
            <w:r>
              <w:rPr>
                <w:rFonts w:ascii="Arial" w:hAnsi="Arial"/>
                <w:sz w:val="20"/>
                <w:szCs w:val="20"/>
              </w:rPr>
              <w:t xml:space="preserve">IOARR), </w:t>
            </w:r>
            <w:r w:rsidRPr="004C2993">
              <w:rPr>
                <w:rFonts w:ascii="Arial" w:hAnsi="Arial"/>
                <w:sz w:val="20"/>
                <w:szCs w:val="20"/>
              </w:rPr>
              <w:t>así como las normas técnicas del Sector Educación</w:t>
            </w:r>
            <w:r>
              <w:rPr>
                <w:rFonts w:ascii="Arial" w:hAnsi="Arial"/>
                <w:sz w:val="20"/>
                <w:szCs w:val="20"/>
              </w:rPr>
              <w:t xml:space="preserve"> y el Reglamento Nacional de Edificaciones.</w:t>
            </w:r>
          </w:p>
          <w:p w14:paraId="5640E67D" w14:textId="77777777" w:rsidR="00791F61" w:rsidRDefault="00791F61" w:rsidP="00791F61">
            <w:pPr>
              <w:pStyle w:val="Prrafodelista"/>
              <w:numPr>
                <w:ilvl w:val="0"/>
                <w:numId w:val="5"/>
              </w:numPr>
              <w:jc w:val="both"/>
              <w:rPr>
                <w:rFonts w:ascii="Arial" w:hAnsi="Arial"/>
                <w:sz w:val="20"/>
                <w:szCs w:val="20"/>
              </w:rPr>
            </w:pPr>
            <w:r>
              <w:rPr>
                <w:rFonts w:ascii="Arial" w:hAnsi="Arial"/>
                <w:sz w:val="20"/>
                <w:szCs w:val="20"/>
              </w:rPr>
              <w:t>Para efectos del cálculo del valor del indicador, se considera que ninguna IOARR es una intervención integral en la UP.</w:t>
            </w:r>
          </w:p>
          <w:p w14:paraId="53FF7498" w14:textId="64B6F214" w:rsidR="002C6B38" w:rsidRPr="003C33F5" w:rsidRDefault="002C6B38" w:rsidP="002C6B38">
            <w:pPr>
              <w:rPr>
                <w:rFonts w:ascii="Arial" w:hAnsi="Arial" w:cs="Arial"/>
                <w:color w:val="FF0000"/>
                <w:sz w:val="18"/>
                <w:szCs w:val="20"/>
              </w:rPr>
            </w:pPr>
          </w:p>
        </w:tc>
      </w:tr>
      <w:tr w:rsidR="00791F61" w:rsidRPr="00791F61" w14:paraId="12E7D33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663B7AED" w14:textId="6B15EA09" w:rsidR="002C6B38" w:rsidRPr="00791F61" w:rsidRDefault="00A6796B" w:rsidP="00A6796B">
            <w:pPr>
              <w:rPr>
                <w:rFonts w:ascii="Arial" w:hAnsi="Arial" w:cs="Arial"/>
                <w:sz w:val="18"/>
                <w:szCs w:val="20"/>
              </w:rPr>
            </w:pPr>
            <w:r w:rsidRPr="00791F61">
              <w:rPr>
                <w:rFonts w:ascii="Arial" w:hAnsi="Arial" w:cs="Arial"/>
                <w:b/>
                <w:bCs/>
                <w:szCs w:val="20"/>
              </w:rPr>
              <w:t>Limitaciones</w:t>
            </w:r>
          </w:p>
        </w:tc>
      </w:tr>
      <w:tr w:rsidR="003C33F5" w:rsidRPr="003C33F5" w14:paraId="0A5EBACB"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5167F26A" w14:textId="77777777" w:rsidR="00791F61" w:rsidRDefault="00791F61" w:rsidP="00791F61">
            <w:pPr>
              <w:pStyle w:val="Prrafodelista"/>
              <w:numPr>
                <w:ilvl w:val="0"/>
                <w:numId w:val="5"/>
              </w:numPr>
              <w:jc w:val="both"/>
              <w:rPr>
                <w:rFonts w:ascii="Arial" w:hAnsi="Arial"/>
                <w:sz w:val="20"/>
                <w:szCs w:val="20"/>
              </w:rPr>
            </w:pPr>
            <w:r w:rsidRPr="00E35A37">
              <w:rPr>
                <w:rFonts w:ascii="Arial" w:hAnsi="Arial"/>
                <w:sz w:val="20"/>
                <w:szCs w:val="20"/>
              </w:rPr>
              <w:t xml:space="preserve">Los directores </w:t>
            </w:r>
            <w:r>
              <w:rPr>
                <w:rFonts w:ascii="Arial" w:hAnsi="Arial"/>
                <w:sz w:val="20"/>
                <w:szCs w:val="20"/>
              </w:rPr>
              <w:t xml:space="preserve">de las instituciones públicas y servidores públicos de los Gobiernos Regionales </w:t>
            </w:r>
            <w:r w:rsidRPr="00E35A37">
              <w:rPr>
                <w:rFonts w:ascii="Arial" w:hAnsi="Arial"/>
                <w:sz w:val="20"/>
                <w:szCs w:val="20"/>
              </w:rPr>
              <w:t xml:space="preserve">no cuentan con herramientas para diagnosticar técnicamente si la infraestructura se encuentra en buenas </w:t>
            </w:r>
            <w:r>
              <w:rPr>
                <w:rFonts w:ascii="Arial" w:hAnsi="Arial"/>
                <w:sz w:val="20"/>
                <w:szCs w:val="20"/>
              </w:rPr>
              <w:t xml:space="preserve">o malas </w:t>
            </w:r>
            <w:r w:rsidRPr="00E35A37">
              <w:rPr>
                <w:rFonts w:ascii="Arial" w:hAnsi="Arial"/>
                <w:sz w:val="20"/>
                <w:szCs w:val="20"/>
              </w:rPr>
              <w:t>condiciones, ya que el reporte se bas</w:t>
            </w:r>
            <w:r>
              <w:rPr>
                <w:rFonts w:ascii="Arial" w:hAnsi="Arial"/>
                <w:sz w:val="20"/>
                <w:szCs w:val="20"/>
              </w:rPr>
              <w:t>a en</w:t>
            </w:r>
            <w:r w:rsidRPr="00E35A37">
              <w:rPr>
                <w:rFonts w:ascii="Arial" w:hAnsi="Arial"/>
                <w:sz w:val="20"/>
                <w:szCs w:val="20"/>
              </w:rPr>
              <w:t xml:space="preserve"> un diagnóstico visual de los ambientes del local educativo</w:t>
            </w:r>
            <w:r>
              <w:rPr>
                <w:rFonts w:ascii="Arial" w:hAnsi="Arial"/>
                <w:sz w:val="20"/>
                <w:szCs w:val="20"/>
              </w:rPr>
              <w:t xml:space="preserve"> o información secundaria</w:t>
            </w:r>
            <w:r w:rsidRPr="00E35A37">
              <w:rPr>
                <w:rFonts w:ascii="Arial" w:hAnsi="Arial"/>
                <w:sz w:val="20"/>
                <w:szCs w:val="20"/>
              </w:rPr>
              <w:t>. Esta limitación es solo aplicable para l</w:t>
            </w:r>
            <w:r>
              <w:rPr>
                <w:rFonts w:ascii="Arial" w:hAnsi="Arial"/>
                <w:sz w:val="20"/>
                <w:szCs w:val="20"/>
              </w:rPr>
              <w:t>as UP cuyo estado se determine en base al</w:t>
            </w:r>
            <w:r w:rsidRPr="00E35A37">
              <w:rPr>
                <w:rFonts w:ascii="Arial" w:hAnsi="Arial"/>
                <w:sz w:val="20"/>
                <w:szCs w:val="20"/>
              </w:rPr>
              <w:t xml:space="preserve"> </w:t>
            </w:r>
            <w:r>
              <w:rPr>
                <w:rFonts w:ascii="Arial" w:hAnsi="Arial"/>
                <w:sz w:val="20"/>
                <w:szCs w:val="20"/>
              </w:rPr>
              <w:t>C</w:t>
            </w:r>
            <w:r w:rsidRPr="00E35A37">
              <w:rPr>
                <w:rFonts w:ascii="Arial" w:hAnsi="Arial"/>
                <w:sz w:val="20"/>
                <w:szCs w:val="20"/>
              </w:rPr>
              <w:t xml:space="preserve">enso </w:t>
            </w:r>
            <w:r>
              <w:rPr>
                <w:rFonts w:ascii="Arial" w:hAnsi="Arial"/>
                <w:sz w:val="20"/>
                <w:szCs w:val="20"/>
              </w:rPr>
              <w:t>E</w:t>
            </w:r>
            <w:r w:rsidRPr="00E35A37">
              <w:rPr>
                <w:rFonts w:ascii="Arial" w:hAnsi="Arial"/>
                <w:sz w:val="20"/>
                <w:szCs w:val="20"/>
              </w:rPr>
              <w:t>scolar</w:t>
            </w:r>
            <w:r>
              <w:rPr>
                <w:rFonts w:ascii="Arial" w:hAnsi="Arial"/>
                <w:sz w:val="20"/>
                <w:szCs w:val="20"/>
              </w:rPr>
              <w:t xml:space="preserve"> o al Plan Nacional de Infraestructura Educativa</w:t>
            </w:r>
            <w:r w:rsidRPr="00E35A37">
              <w:rPr>
                <w:rFonts w:ascii="Arial" w:hAnsi="Arial"/>
                <w:sz w:val="20"/>
                <w:szCs w:val="20"/>
              </w:rPr>
              <w:t>.</w:t>
            </w:r>
            <w:r>
              <w:rPr>
                <w:rFonts w:ascii="Arial" w:hAnsi="Arial"/>
                <w:sz w:val="20"/>
                <w:szCs w:val="20"/>
              </w:rPr>
              <w:t xml:space="preserve"> Por este motivo, cuando se cuente con información asociada al Banco de Inversiones, esta se priorizará respecto de la del Censo Escolar y la del Plan Nacional de Infraestructura Educativa dado que es registrada por las Unidades Formuladoras (UF) y Unidades Ejecutoras de Inversiones (UEI), las cuales realizan un diagnóstico técnico de las UP para determinar sus necesidades</w:t>
            </w:r>
            <w:r w:rsidRPr="003261F7">
              <w:rPr>
                <w:rFonts w:ascii="Arial" w:hAnsi="Arial"/>
                <w:sz w:val="20"/>
                <w:szCs w:val="20"/>
              </w:rPr>
              <w:t>.</w:t>
            </w:r>
          </w:p>
          <w:p w14:paraId="1BCB9A5C" w14:textId="77777777" w:rsidR="00791F61" w:rsidRDefault="00791F61" w:rsidP="00791F61">
            <w:pPr>
              <w:pStyle w:val="Prrafodelista"/>
              <w:numPr>
                <w:ilvl w:val="0"/>
                <w:numId w:val="5"/>
              </w:numPr>
              <w:jc w:val="both"/>
              <w:rPr>
                <w:rFonts w:ascii="Arial" w:hAnsi="Arial"/>
                <w:sz w:val="20"/>
                <w:szCs w:val="20"/>
              </w:rPr>
            </w:pPr>
            <w:r>
              <w:rPr>
                <w:rFonts w:ascii="Arial" w:hAnsi="Arial"/>
                <w:sz w:val="20"/>
                <w:szCs w:val="20"/>
              </w:rPr>
              <w:t>El Plan Nacional de Infraestructura Educativa no cuenta con información de la totalidad de las instituciones educativas a nivel nacional y no toda se encuentra actualizada a la fecha, por lo que resulta pertinente contar con fuentes de información adicionales que puedan cubrir la falta de información.</w:t>
            </w:r>
          </w:p>
          <w:p w14:paraId="6CED8AB2" w14:textId="77777777" w:rsidR="00791F61" w:rsidRPr="00D858E9" w:rsidRDefault="00791F61" w:rsidP="00791F61">
            <w:pPr>
              <w:pStyle w:val="Prrafodelista"/>
              <w:numPr>
                <w:ilvl w:val="0"/>
                <w:numId w:val="5"/>
              </w:numPr>
              <w:jc w:val="both"/>
              <w:rPr>
                <w:rFonts w:ascii="Arial" w:hAnsi="Arial"/>
                <w:sz w:val="20"/>
                <w:szCs w:val="20"/>
              </w:rPr>
            </w:pPr>
            <w:r>
              <w:rPr>
                <w:rFonts w:ascii="Arial" w:hAnsi="Arial"/>
                <w:sz w:val="20"/>
                <w:szCs w:val="20"/>
              </w:rPr>
              <w:t>El Censo Escolar no tiene como objetivo principal diagnosticar el estado de la infraestructura educativa, por lo que resulta adecuado utilizar la información de otras fuentes de información especializadas en la materia cuando esta se encuentre disponible.</w:t>
            </w:r>
          </w:p>
          <w:p w14:paraId="123EB2D1" w14:textId="3EB96B64" w:rsidR="002C6B38" w:rsidRPr="003C33F5" w:rsidRDefault="002C6B38" w:rsidP="002C6B38">
            <w:pPr>
              <w:rPr>
                <w:rFonts w:ascii="Arial" w:hAnsi="Arial" w:cs="Arial"/>
                <w:color w:val="FF0000"/>
                <w:sz w:val="18"/>
                <w:szCs w:val="20"/>
              </w:rPr>
            </w:pPr>
          </w:p>
        </w:tc>
      </w:tr>
      <w:tr w:rsidR="00C40975" w:rsidRPr="00C40975" w14:paraId="6AEBC367"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1EEFA724" w14:textId="297AA9E6" w:rsidR="002C6B38" w:rsidRPr="00C40975" w:rsidRDefault="002C6B38" w:rsidP="002C6B38">
            <w:pPr>
              <w:rPr>
                <w:rFonts w:ascii="Arial" w:hAnsi="Arial" w:cs="Arial"/>
                <w:sz w:val="18"/>
                <w:szCs w:val="20"/>
              </w:rPr>
            </w:pPr>
            <w:r w:rsidRPr="00C40975">
              <w:rPr>
                <w:rFonts w:ascii="Arial" w:hAnsi="Arial" w:cs="Arial"/>
                <w:b/>
                <w:bCs/>
              </w:rPr>
              <w:t>Fuente de Datos</w:t>
            </w:r>
          </w:p>
        </w:tc>
      </w:tr>
      <w:tr w:rsidR="003C33F5" w:rsidRPr="003C33F5" w14:paraId="6D005D0A"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7BCBB6E9" w14:textId="77777777" w:rsidR="00C40975" w:rsidRPr="001B3721" w:rsidRDefault="00C40975" w:rsidP="00C40975">
            <w:pPr>
              <w:spacing w:before="240" w:after="120"/>
              <w:jc w:val="both"/>
              <w:rPr>
                <w:rFonts w:ascii="Arial" w:hAnsi="Arial"/>
                <w:sz w:val="20"/>
                <w:szCs w:val="20"/>
                <w:lang w:val="es-MX"/>
              </w:rPr>
            </w:pPr>
            <w:r w:rsidRPr="001B3721">
              <w:rPr>
                <w:rFonts w:ascii="Arial" w:hAnsi="Arial"/>
                <w:sz w:val="20"/>
                <w:szCs w:val="20"/>
                <w:lang w:val="es-MX"/>
              </w:rPr>
              <w:t>Responsables de información:</w:t>
            </w:r>
          </w:p>
          <w:p w14:paraId="51350E8A" w14:textId="77777777" w:rsidR="00C40975" w:rsidRDefault="00C40975" w:rsidP="00C40975">
            <w:pPr>
              <w:pStyle w:val="Prrafodelista"/>
              <w:numPr>
                <w:ilvl w:val="0"/>
                <w:numId w:val="6"/>
              </w:numPr>
              <w:spacing w:before="240" w:after="120"/>
              <w:jc w:val="both"/>
              <w:rPr>
                <w:rFonts w:ascii="Arial" w:hAnsi="Arial"/>
                <w:sz w:val="20"/>
                <w:szCs w:val="20"/>
                <w:lang w:val="es-MX"/>
              </w:rPr>
            </w:pPr>
            <w:r>
              <w:rPr>
                <w:rFonts w:ascii="Arial" w:hAnsi="Arial"/>
                <w:sz w:val="20"/>
                <w:szCs w:val="20"/>
                <w:lang w:val="es-MX"/>
              </w:rPr>
              <w:t>Unidad de Programación e Inversiones, a través del apoyo al Órgano Resolutivo en el seguimiento del avance de la ejecución de las inversiones.</w:t>
            </w:r>
          </w:p>
          <w:p w14:paraId="7B7BB4BF" w14:textId="77777777" w:rsidR="00C40975" w:rsidRPr="0039057B" w:rsidRDefault="00C40975" w:rsidP="00C40975">
            <w:pPr>
              <w:pStyle w:val="Prrafodelista"/>
              <w:spacing w:before="240" w:after="120"/>
              <w:ind w:left="1068"/>
              <w:jc w:val="both"/>
              <w:rPr>
                <w:rFonts w:ascii="Arial" w:hAnsi="Arial"/>
                <w:sz w:val="20"/>
                <w:szCs w:val="20"/>
                <w:lang w:val="es-MX"/>
              </w:rPr>
            </w:pPr>
            <w:r>
              <w:rPr>
                <w:rFonts w:ascii="Arial" w:hAnsi="Arial"/>
                <w:sz w:val="20"/>
                <w:szCs w:val="20"/>
                <w:lang w:val="es-MX"/>
              </w:rPr>
              <w:t xml:space="preserve">Nombre de la base de datos: </w:t>
            </w:r>
            <w:r w:rsidRPr="0039057B">
              <w:rPr>
                <w:rFonts w:ascii="Arial" w:hAnsi="Arial"/>
                <w:sz w:val="20"/>
                <w:szCs w:val="20"/>
                <w:lang w:val="es-MX"/>
              </w:rPr>
              <w:t>Base de Datos de Monitoreo del Estado las Unidades Productoras en el Marco del Invierte.pe</w:t>
            </w:r>
            <w:r>
              <w:rPr>
                <w:rFonts w:ascii="Arial" w:hAnsi="Arial"/>
                <w:sz w:val="20"/>
                <w:szCs w:val="20"/>
                <w:lang w:val="es-MX"/>
              </w:rPr>
              <w:t>.</w:t>
            </w:r>
          </w:p>
          <w:p w14:paraId="53D203D0" w14:textId="77777777" w:rsidR="00C40975" w:rsidRPr="00040D30" w:rsidRDefault="00C40975" w:rsidP="00C40975">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rPr>
              <w:t>Dirección de Planificación de Inversiones</w:t>
            </w:r>
            <w:r w:rsidRPr="00040D30">
              <w:rPr>
                <w:rFonts w:ascii="Arial" w:hAnsi="Arial"/>
                <w:sz w:val="20"/>
                <w:szCs w:val="20"/>
                <w:lang w:val="es-MX"/>
              </w:rPr>
              <w:t>, a través del monitoreo de la implementación del Plan Nacional de Infraestructura Educativa.</w:t>
            </w:r>
          </w:p>
          <w:p w14:paraId="3AE9294A" w14:textId="77777777" w:rsidR="00C40975" w:rsidRPr="00040D30" w:rsidRDefault="00C40975" w:rsidP="00C40975">
            <w:pPr>
              <w:pStyle w:val="Prrafodelista"/>
              <w:spacing w:before="240" w:after="120"/>
              <w:ind w:left="1068"/>
              <w:jc w:val="both"/>
              <w:rPr>
                <w:rFonts w:ascii="Arial" w:hAnsi="Arial"/>
                <w:sz w:val="20"/>
                <w:szCs w:val="20"/>
                <w:lang w:val="es-MX"/>
              </w:rPr>
            </w:pPr>
            <w:r w:rsidRPr="00040D30">
              <w:rPr>
                <w:rFonts w:ascii="Arial" w:hAnsi="Arial"/>
                <w:sz w:val="20"/>
                <w:szCs w:val="20"/>
                <w:lang w:val="es-MX"/>
              </w:rPr>
              <w:t xml:space="preserve">Nombre de la base de datos: </w:t>
            </w:r>
            <w:r w:rsidRPr="00CD7B72">
              <w:rPr>
                <w:rFonts w:ascii="Arial" w:hAnsi="Arial"/>
                <w:sz w:val="20"/>
                <w:szCs w:val="20"/>
              </w:rPr>
              <w:t>"</w:t>
            </w:r>
            <w:r>
              <w:rPr>
                <w:rFonts w:ascii="Arial" w:hAnsi="Arial"/>
                <w:sz w:val="20"/>
                <w:szCs w:val="20"/>
              </w:rPr>
              <w:t>Base de Datos de Monitoreo del Plan Nacional de Infraestructura Educativa</w:t>
            </w:r>
            <w:r w:rsidRPr="00CD7B72">
              <w:rPr>
                <w:rFonts w:ascii="Arial" w:hAnsi="Arial"/>
                <w:sz w:val="20"/>
                <w:szCs w:val="20"/>
              </w:rPr>
              <w:t>"</w:t>
            </w:r>
          </w:p>
          <w:p w14:paraId="1DE1D6D9" w14:textId="77777777" w:rsidR="00C40975" w:rsidRPr="00040D30" w:rsidRDefault="00C40975" w:rsidP="00C40975">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lang w:val="es-MX"/>
              </w:rPr>
              <w:t>La Unidad de Estadística, a través de la publicación del Censo Escolar.</w:t>
            </w:r>
          </w:p>
          <w:p w14:paraId="7BFC09F0" w14:textId="77777777" w:rsidR="00C40975" w:rsidRDefault="00C40975" w:rsidP="00C40975">
            <w:pPr>
              <w:pStyle w:val="Prrafodelista"/>
              <w:spacing w:before="240" w:after="120"/>
              <w:ind w:left="1068"/>
              <w:jc w:val="both"/>
              <w:rPr>
                <w:rFonts w:ascii="Arial" w:hAnsi="Arial"/>
                <w:sz w:val="20"/>
                <w:szCs w:val="20"/>
              </w:rPr>
            </w:pPr>
            <w:r w:rsidRPr="00040D30">
              <w:rPr>
                <w:rFonts w:ascii="Arial" w:hAnsi="Arial"/>
                <w:sz w:val="20"/>
                <w:szCs w:val="20"/>
                <w:lang w:val="es-MX"/>
              </w:rPr>
              <w:t>Nombre de la</w:t>
            </w:r>
            <w:r>
              <w:rPr>
                <w:rFonts w:ascii="Arial" w:hAnsi="Arial"/>
                <w:sz w:val="20"/>
                <w:szCs w:val="20"/>
                <w:lang w:val="es-MX"/>
              </w:rPr>
              <w:t>s</w:t>
            </w:r>
            <w:r w:rsidRPr="00040D30">
              <w:rPr>
                <w:rFonts w:ascii="Arial" w:hAnsi="Arial"/>
                <w:sz w:val="20"/>
                <w:szCs w:val="20"/>
                <w:lang w:val="es-MX"/>
              </w:rPr>
              <w:t xml:space="preserve"> base</w:t>
            </w:r>
            <w:r>
              <w:rPr>
                <w:rFonts w:ascii="Arial" w:hAnsi="Arial"/>
                <w:sz w:val="20"/>
                <w:szCs w:val="20"/>
                <w:lang w:val="es-MX"/>
              </w:rPr>
              <w:t>s</w:t>
            </w:r>
            <w:r w:rsidRPr="00040D30">
              <w:rPr>
                <w:rFonts w:ascii="Arial" w:hAnsi="Arial"/>
                <w:sz w:val="20"/>
                <w:szCs w:val="20"/>
                <w:lang w:val="es-MX"/>
              </w:rPr>
              <w:t xml:space="preserve"> de datos </w:t>
            </w:r>
            <w:r>
              <w:rPr>
                <w:rFonts w:ascii="Arial" w:hAnsi="Arial"/>
                <w:sz w:val="20"/>
                <w:szCs w:val="20"/>
                <w:lang w:val="es-MX"/>
              </w:rPr>
              <w:t>o tablas</w:t>
            </w:r>
            <w:r w:rsidRPr="00040D30">
              <w:rPr>
                <w:rFonts w:ascii="Arial" w:hAnsi="Arial"/>
                <w:sz w:val="20"/>
                <w:szCs w:val="20"/>
                <w:lang w:val="es-MX"/>
              </w:rPr>
              <w:t>: “</w:t>
            </w:r>
            <w:r w:rsidRPr="00040D30">
              <w:rPr>
                <w:rFonts w:ascii="Arial" w:hAnsi="Arial"/>
                <w:sz w:val="20"/>
                <w:szCs w:val="20"/>
              </w:rPr>
              <w:t>padr</w:t>
            </w:r>
            <w:r>
              <w:rPr>
                <w:rFonts w:ascii="Arial" w:hAnsi="Arial"/>
                <w:sz w:val="20"/>
                <w:szCs w:val="20"/>
              </w:rPr>
              <w:t>ón</w:t>
            </w:r>
            <w:r w:rsidRPr="00040D30">
              <w:rPr>
                <w:rFonts w:ascii="Arial" w:hAnsi="Arial"/>
                <w:sz w:val="20"/>
                <w:szCs w:val="20"/>
              </w:rPr>
              <w:t>”</w:t>
            </w:r>
            <w:r>
              <w:rPr>
                <w:rFonts w:ascii="Arial" w:hAnsi="Arial"/>
                <w:sz w:val="20"/>
                <w:szCs w:val="20"/>
              </w:rPr>
              <w:t xml:space="preserve">, </w:t>
            </w:r>
            <w:r w:rsidRPr="00040D30">
              <w:rPr>
                <w:rFonts w:ascii="Arial" w:hAnsi="Arial"/>
                <w:sz w:val="20"/>
                <w:szCs w:val="20"/>
                <w:lang w:val="es-MX"/>
              </w:rPr>
              <w:t>“</w:t>
            </w:r>
            <w:r w:rsidRPr="00A8651F">
              <w:rPr>
                <w:rFonts w:ascii="Arial" w:hAnsi="Arial"/>
                <w:sz w:val="20"/>
                <w:szCs w:val="20"/>
                <w:lang w:val="es-MX"/>
              </w:rPr>
              <w:t>Plocal_sec</w:t>
            </w:r>
            <w:r>
              <w:rPr>
                <w:rFonts w:ascii="Arial" w:hAnsi="Arial"/>
                <w:sz w:val="20"/>
                <w:szCs w:val="20"/>
                <w:lang w:val="es-MX"/>
              </w:rPr>
              <w:t>5</w:t>
            </w:r>
            <w:r w:rsidRPr="00A8651F">
              <w:rPr>
                <w:rFonts w:ascii="Arial" w:hAnsi="Arial"/>
                <w:sz w:val="20"/>
                <w:szCs w:val="20"/>
                <w:lang w:val="es-MX"/>
              </w:rPr>
              <w:t>00</w:t>
            </w:r>
            <w:r>
              <w:rPr>
                <w:rFonts w:ascii="Arial" w:hAnsi="Arial"/>
                <w:sz w:val="20"/>
                <w:szCs w:val="20"/>
                <w:lang w:val="es-MX"/>
              </w:rPr>
              <w:t>”, Plocal_sec600, Plocal605, Plocal700</w:t>
            </w:r>
            <w:r>
              <w:rPr>
                <w:rFonts w:ascii="Arial" w:hAnsi="Arial"/>
                <w:sz w:val="20"/>
                <w:szCs w:val="20"/>
              </w:rPr>
              <w:t>.</w:t>
            </w:r>
          </w:p>
          <w:p w14:paraId="0F16247E" w14:textId="77777777" w:rsidR="00C40975" w:rsidRPr="00040D30" w:rsidRDefault="00C40975" w:rsidP="00C40975">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lang w:val="es-MX"/>
              </w:rPr>
              <w:lastRenderedPageBreak/>
              <w:t xml:space="preserve">La </w:t>
            </w:r>
            <w:r>
              <w:rPr>
                <w:rFonts w:ascii="Arial" w:hAnsi="Arial"/>
                <w:sz w:val="20"/>
                <w:szCs w:val="20"/>
                <w:lang w:val="es-MX"/>
              </w:rPr>
              <w:t>Dirección de Educación Básica para Estudiantes con Desempeño Sobresaliente y Alto Rendimiento</w:t>
            </w:r>
            <w:r w:rsidRPr="00040D30">
              <w:rPr>
                <w:rFonts w:ascii="Arial" w:hAnsi="Arial"/>
                <w:sz w:val="20"/>
                <w:szCs w:val="20"/>
                <w:lang w:val="es-MX"/>
              </w:rPr>
              <w:t>, a través de</w:t>
            </w:r>
            <w:r>
              <w:rPr>
                <w:rFonts w:ascii="Arial" w:hAnsi="Arial"/>
                <w:sz w:val="20"/>
                <w:szCs w:val="20"/>
                <w:lang w:val="es-MX"/>
              </w:rPr>
              <w:t>l monitoreo y evaluación que realizado sobre las II.EE que desarrollan el modelo de servicio</w:t>
            </w:r>
            <w:r w:rsidRPr="00040D30">
              <w:rPr>
                <w:rFonts w:ascii="Arial" w:hAnsi="Arial"/>
                <w:sz w:val="20"/>
                <w:szCs w:val="20"/>
                <w:lang w:val="es-MX"/>
              </w:rPr>
              <w:t>.</w:t>
            </w:r>
          </w:p>
          <w:p w14:paraId="5F82A341" w14:textId="77777777" w:rsidR="00C40975" w:rsidRPr="00562C47" w:rsidRDefault="00C40975" w:rsidP="00C40975">
            <w:pPr>
              <w:pStyle w:val="Prrafodelista"/>
              <w:spacing w:before="240" w:after="120"/>
              <w:ind w:left="1068"/>
              <w:jc w:val="both"/>
              <w:rPr>
                <w:rFonts w:ascii="Arial" w:hAnsi="Arial"/>
                <w:sz w:val="20"/>
                <w:szCs w:val="20"/>
                <w:lang w:val="es-MX"/>
              </w:rPr>
            </w:pPr>
            <w:r w:rsidRPr="00040D30">
              <w:rPr>
                <w:rFonts w:ascii="Arial" w:hAnsi="Arial"/>
                <w:sz w:val="20"/>
                <w:szCs w:val="20"/>
                <w:lang w:val="es-MX"/>
              </w:rPr>
              <w:t>Nombre de la</w:t>
            </w:r>
            <w:r>
              <w:rPr>
                <w:rFonts w:ascii="Arial" w:hAnsi="Arial"/>
                <w:sz w:val="20"/>
                <w:szCs w:val="20"/>
                <w:lang w:val="es-MX"/>
              </w:rPr>
              <w:t>s</w:t>
            </w:r>
            <w:r w:rsidRPr="00040D30">
              <w:rPr>
                <w:rFonts w:ascii="Arial" w:hAnsi="Arial"/>
                <w:sz w:val="20"/>
                <w:szCs w:val="20"/>
                <w:lang w:val="es-MX"/>
              </w:rPr>
              <w:t xml:space="preserve"> base</w:t>
            </w:r>
            <w:r>
              <w:rPr>
                <w:rFonts w:ascii="Arial" w:hAnsi="Arial"/>
                <w:sz w:val="20"/>
                <w:szCs w:val="20"/>
                <w:lang w:val="es-MX"/>
              </w:rPr>
              <w:t>s</w:t>
            </w:r>
            <w:r w:rsidRPr="00040D30">
              <w:rPr>
                <w:rFonts w:ascii="Arial" w:hAnsi="Arial"/>
                <w:sz w:val="20"/>
                <w:szCs w:val="20"/>
                <w:lang w:val="es-MX"/>
              </w:rPr>
              <w:t xml:space="preserve"> de datos </w:t>
            </w:r>
            <w:r>
              <w:rPr>
                <w:rFonts w:ascii="Arial" w:hAnsi="Arial"/>
                <w:sz w:val="20"/>
                <w:szCs w:val="20"/>
                <w:lang w:val="es-MX"/>
              </w:rPr>
              <w:t>o tablas</w:t>
            </w:r>
            <w:r w:rsidRPr="00040D30">
              <w:rPr>
                <w:rFonts w:ascii="Arial" w:hAnsi="Arial"/>
                <w:sz w:val="20"/>
                <w:szCs w:val="20"/>
                <w:lang w:val="es-MX"/>
              </w:rPr>
              <w:t>:</w:t>
            </w:r>
            <w:r>
              <w:rPr>
                <w:rFonts w:ascii="Arial" w:hAnsi="Arial"/>
                <w:sz w:val="20"/>
                <w:szCs w:val="20"/>
                <w:lang w:val="es-MX"/>
              </w:rPr>
              <w:t xml:space="preserve"> “B</w:t>
            </w:r>
            <w:r w:rsidRPr="00562C47">
              <w:rPr>
                <w:rFonts w:ascii="Arial" w:hAnsi="Arial"/>
                <w:sz w:val="20"/>
                <w:szCs w:val="20"/>
                <w:lang w:val="es-MX"/>
              </w:rPr>
              <w:t>ase de datos con la lista de II.EE con convenio firmado para la implementación del Modelo de Servicio Educativo para la Atención de Estudiantes con Habilidades Sobresalientes</w:t>
            </w:r>
            <w:r>
              <w:rPr>
                <w:rFonts w:ascii="Arial" w:hAnsi="Arial"/>
                <w:sz w:val="20"/>
                <w:szCs w:val="20"/>
                <w:lang w:val="es-MX"/>
              </w:rPr>
              <w:t>”</w:t>
            </w:r>
            <w:r w:rsidRPr="00562C47">
              <w:rPr>
                <w:rFonts w:ascii="Arial" w:hAnsi="Arial"/>
                <w:sz w:val="20"/>
                <w:szCs w:val="20"/>
                <w:lang w:val="es-MX"/>
              </w:rPr>
              <w:t>.</w:t>
            </w:r>
          </w:p>
          <w:p w14:paraId="28B61996" w14:textId="5B1E98DF" w:rsidR="002C6B38" w:rsidRPr="00C40975" w:rsidRDefault="00C40975" w:rsidP="009437D5">
            <w:pPr>
              <w:spacing w:before="240" w:after="120"/>
              <w:jc w:val="both"/>
              <w:rPr>
                <w:rFonts w:ascii="Arial" w:hAnsi="Arial"/>
                <w:sz w:val="20"/>
                <w:szCs w:val="20"/>
                <w:lang w:val="es-MX"/>
              </w:rPr>
            </w:pPr>
            <w:r w:rsidRPr="001B3721">
              <w:rPr>
                <w:rFonts w:ascii="Arial" w:hAnsi="Arial"/>
                <w:sz w:val="20"/>
                <w:szCs w:val="20"/>
              </w:rPr>
              <w:t>La medición de las brechas para la Programación Multianual de Inversiones se realizará cada año con las bases de datos más actualizadas</w:t>
            </w:r>
            <w:r w:rsidRPr="001B3721">
              <w:rPr>
                <w:rFonts w:ascii="Arial" w:hAnsi="Arial"/>
                <w:sz w:val="20"/>
                <w:szCs w:val="20"/>
                <w:lang w:val="es-MX"/>
              </w:rPr>
              <w:t>.</w:t>
            </w:r>
          </w:p>
        </w:tc>
      </w:tr>
      <w:tr w:rsidR="00293BB3" w:rsidRPr="00293BB3" w14:paraId="5481CE85"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38775197" w14:textId="682BCADE" w:rsidR="002C6B38" w:rsidRPr="00293BB3" w:rsidRDefault="002C6B38" w:rsidP="002C6B38">
            <w:pPr>
              <w:rPr>
                <w:rFonts w:ascii="Arial" w:hAnsi="Arial" w:cs="Arial"/>
                <w:sz w:val="18"/>
                <w:szCs w:val="20"/>
              </w:rPr>
            </w:pPr>
            <w:r w:rsidRPr="00293BB3">
              <w:rPr>
                <w:rFonts w:ascii="Arial" w:hAnsi="Arial" w:cs="Arial"/>
                <w:b/>
                <w:bCs/>
                <w:szCs w:val="20"/>
              </w:rPr>
              <w:lastRenderedPageBreak/>
              <w:t>Instrumento de Recolección de Información</w:t>
            </w:r>
          </w:p>
        </w:tc>
      </w:tr>
      <w:tr w:rsidR="002C6B38" w:rsidRPr="003C33F5" w14:paraId="75468DF2" w14:textId="77777777" w:rsidTr="002C6B38">
        <w:trPr>
          <w:trHeight w:val="173"/>
        </w:trPr>
        <w:tc>
          <w:tcPr>
            <w:tcW w:w="9500" w:type="dxa"/>
            <w:gridSpan w:val="7"/>
            <w:tcBorders>
              <w:top w:val="single" w:sz="4" w:space="0" w:color="auto"/>
              <w:left w:val="single" w:sz="4" w:space="0" w:color="auto"/>
              <w:bottom w:val="single" w:sz="4" w:space="0" w:color="auto"/>
              <w:right w:val="single" w:sz="4" w:space="0" w:color="auto"/>
            </w:tcBorders>
            <w:vAlign w:val="center"/>
          </w:tcPr>
          <w:p w14:paraId="0778F774" w14:textId="77777777" w:rsidR="00293BB3" w:rsidRDefault="00293BB3" w:rsidP="00293BB3">
            <w:pPr>
              <w:pStyle w:val="Prrafodelista"/>
              <w:numPr>
                <w:ilvl w:val="0"/>
                <w:numId w:val="7"/>
              </w:numPr>
              <w:spacing w:before="240" w:after="120"/>
              <w:ind w:left="1068"/>
              <w:jc w:val="both"/>
              <w:rPr>
                <w:rFonts w:ascii="Arial" w:hAnsi="Arial"/>
                <w:sz w:val="20"/>
                <w:szCs w:val="20"/>
              </w:rPr>
            </w:pPr>
            <w:r>
              <w:rPr>
                <w:rFonts w:ascii="Arial" w:hAnsi="Arial"/>
                <w:sz w:val="20"/>
                <w:szCs w:val="20"/>
              </w:rPr>
              <w:t xml:space="preserve">La Unidad de Programación e Inversiones del MINEDU, a través del análisis de información asociada a las inversiones (Banco de Inversiones, SIAF), de manera anual, es la encargada de construir la Base de Datos de Monitoreo del Estado de las Unidades Productoras en el Marco del Invierte.pe, a través de la aplicación del documento denominado “Criterios que Permiten Estimar el Estado de las Unidades Productoras del Sector Educación en el Marco del Invierte.pe” el cual forma parte del Informe </w:t>
            </w:r>
            <w:proofErr w:type="spellStart"/>
            <w:r>
              <w:rPr>
                <w:rFonts w:ascii="Arial" w:hAnsi="Arial"/>
                <w:sz w:val="20"/>
                <w:szCs w:val="20"/>
              </w:rPr>
              <w:t>Nº</w:t>
            </w:r>
            <w:proofErr w:type="spellEnd"/>
            <w:r>
              <w:rPr>
                <w:rFonts w:ascii="Arial" w:hAnsi="Arial"/>
                <w:sz w:val="20"/>
                <w:szCs w:val="20"/>
              </w:rPr>
              <w:t xml:space="preserve"> 00608-2021-MINEDU/SPE-OPEP-UPI. </w:t>
            </w:r>
          </w:p>
          <w:p w14:paraId="46B9D4D0" w14:textId="77777777" w:rsidR="00293BB3" w:rsidRPr="0039057B" w:rsidRDefault="00293BB3" w:rsidP="00293BB3">
            <w:pPr>
              <w:pStyle w:val="Prrafodelista"/>
              <w:spacing w:before="240" w:after="120"/>
              <w:ind w:left="1068"/>
              <w:jc w:val="both"/>
              <w:rPr>
                <w:rFonts w:ascii="Arial" w:hAnsi="Arial"/>
                <w:sz w:val="20"/>
                <w:szCs w:val="20"/>
              </w:rPr>
            </w:pPr>
          </w:p>
          <w:p w14:paraId="622607D4" w14:textId="77777777" w:rsidR="00293BB3" w:rsidRPr="0039057B" w:rsidRDefault="00293BB3" w:rsidP="00293BB3">
            <w:pPr>
              <w:pStyle w:val="Prrafodelista"/>
              <w:numPr>
                <w:ilvl w:val="0"/>
                <w:numId w:val="7"/>
              </w:numPr>
              <w:spacing w:before="240" w:after="120"/>
              <w:ind w:left="1068"/>
              <w:jc w:val="both"/>
              <w:rPr>
                <w:rFonts w:ascii="Arial" w:hAnsi="Arial"/>
                <w:sz w:val="20"/>
                <w:szCs w:val="20"/>
              </w:rPr>
            </w:pPr>
            <w:r>
              <w:rPr>
                <w:rFonts w:ascii="Arial" w:hAnsi="Arial"/>
                <w:sz w:val="20"/>
                <w:szCs w:val="20"/>
              </w:rPr>
              <w:t>La Unidad de Estadística del MINEDU es la responsable de diseñar, recoger, limpiar y publicar información censal de las II.EE a través de la implementación del Censo Educativo de manera anual.</w:t>
            </w:r>
          </w:p>
          <w:p w14:paraId="680728CE" w14:textId="77777777" w:rsidR="00293BB3" w:rsidRPr="0039057B" w:rsidRDefault="00293BB3" w:rsidP="00293BB3">
            <w:pPr>
              <w:pStyle w:val="Prrafodelista"/>
              <w:spacing w:before="240" w:after="120"/>
              <w:ind w:left="1068"/>
              <w:jc w:val="both"/>
              <w:rPr>
                <w:rFonts w:ascii="Arial" w:hAnsi="Arial"/>
                <w:sz w:val="20"/>
                <w:szCs w:val="20"/>
              </w:rPr>
            </w:pPr>
          </w:p>
          <w:p w14:paraId="75B54A0A" w14:textId="77777777" w:rsidR="00293BB3" w:rsidRDefault="00293BB3" w:rsidP="00293BB3">
            <w:pPr>
              <w:pStyle w:val="Prrafodelista"/>
              <w:numPr>
                <w:ilvl w:val="0"/>
                <w:numId w:val="7"/>
              </w:numPr>
              <w:spacing w:before="240" w:after="120"/>
              <w:ind w:left="1068"/>
              <w:jc w:val="both"/>
              <w:rPr>
                <w:rFonts w:ascii="Arial" w:hAnsi="Arial"/>
                <w:sz w:val="20"/>
                <w:szCs w:val="20"/>
              </w:rPr>
            </w:pPr>
            <w:r>
              <w:rPr>
                <w:rFonts w:ascii="Arial" w:hAnsi="Arial"/>
                <w:sz w:val="20"/>
                <w:szCs w:val="20"/>
                <w:lang w:eastAsia="es-PE"/>
              </w:rPr>
              <w:t xml:space="preserve">La Dirección de Planificación de Inversiones, en el marco de sus funciones, es la responsable de realizar el seguimiento a la implementación del Plan Nacional de Infraestructura Educativa al 2025 a través de la Base de Datos </w:t>
            </w:r>
            <w:r>
              <w:rPr>
                <w:rFonts w:ascii="Arial" w:hAnsi="Arial"/>
                <w:sz w:val="20"/>
                <w:szCs w:val="20"/>
              </w:rPr>
              <w:t>d</w:t>
            </w:r>
            <w:r w:rsidRPr="00E35A37">
              <w:rPr>
                <w:rFonts w:ascii="Arial" w:hAnsi="Arial"/>
                <w:sz w:val="20"/>
                <w:szCs w:val="20"/>
              </w:rPr>
              <w:t xml:space="preserve">e </w:t>
            </w:r>
            <w:r>
              <w:rPr>
                <w:rFonts w:ascii="Arial" w:hAnsi="Arial"/>
                <w:sz w:val="20"/>
                <w:szCs w:val="20"/>
              </w:rPr>
              <w:t>M</w:t>
            </w:r>
            <w:r w:rsidRPr="00E35A37">
              <w:rPr>
                <w:rFonts w:ascii="Arial" w:hAnsi="Arial"/>
                <w:sz w:val="20"/>
                <w:szCs w:val="20"/>
              </w:rPr>
              <w:t>onitoreo del Plan Nacional de Infraestructura Educativa</w:t>
            </w:r>
            <w:r>
              <w:rPr>
                <w:rFonts w:ascii="Arial" w:hAnsi="Arial"/>
                <w:sz w:val="20"/>
                <w:szCs w:val="20"/>
              </w:rPr>
              <w:t>, el cual lo realiza todos los años mediante la aplicación de fichas y el sistema de recojo de información.</w:t>
            </w:r>
          </w:p>
          <w:p w14:paraId="46E64E5B" w14:textId="77777777" w:rsidR="00293BB3" w:rsidRPr="00562C47" w:rsidRDefault="00293BB3" w:rsidP="00293BB3">
            <w:pPr>
              <w:pStyle w:val="Prrafodelista"/>
              <w:rPr>
                <w:rFonts w:ascii="Arial" w:hAnsi="Arial"/>
                <w:sz w:val="20"/>
                <w:szCs w:val="20"/>
              </w:rPr>
            </w:pPr>
          </w:p>
          <w:p w14:paraId="0C58C21E" w14:textId="77777777" w:rsidR="00293BB3" w:rsidRPr="00040D30" w:rsidRDefault="00293BB3" w:rsidP="00293BB3">
            <w:pPr>
              <w:pStyle w:val="Prrafodelista"/>
              <w:numPr>
                <w:ilvl w:val="0"/>
                <w:numId w:val="6"/>
              </w:numPr>
              <w:spacing w:before="240" w:after="120"/>
              <w:jc w:val="both"/>
              <w:rPr>
                <w:rFonts w:ascii="Arial" w:hAnsi="Arial"/>
                <w:sz w:val="20"/>
                <w:szCs w:val="20"/>
                <w:lang w:val="es-MX"/>
              </w:rPr>
            </w:pPr>
            <w:r w:rsidRPr="00040D30">
              <w:rPr>
                <w:rFonts w:ascii="Arial" w:hAnsi="Arial"/>
                <w:sz w:val="20"/>
                <w:szCs w:val="20"/>
                <w:lang w:val="es-MX"/>
              </w:rPr>
              <w:t xml:space="preserve">La </w:t>
            </w:r>
            <w:r>
              <w:rPr>
                <w:rFonts w:ascii="Arial" w:hAnsi="Arial"/>
                <w:sz w:val="20"/>
                <w:szCs w:val="20"/>
                <w:lang w:val="es-MX"/>
              </w:rPr>
              <w:t>Dirección de Educación Básica para Estudiantes con Desempeño Sobresaliente y Alto Rendimiento</w:t>
            </w:r>
            <w:r w:rsidRPr="00040D30">
              <w:rPr>
                <w:rFonts w:ascii="Arial" w:hAnsi="Arial"/>
                <w:sz w:val="20"/>
                <w:szCs w:val="20"/>
                <w:lang w:val="es-MX"/>
              </w:rPr>
              <w:t xml:space="preserve"> </w:t>
            </w:r>
            <w:r>
              <w:rPr>
                <w:rFonts w:ascii="Arial" w:hAnsi="Arial"/>
                <w:sz w:val="20"/>
                <w:szCs w:val="20"/>
                <w:lang w:val="es-MX"/>
              </w:rPr>
              <w:t>es la responsable de realizar el monitoreo y evaluación de las II.EE que desarrollan el modelo de servicio en mención</w:t>
            </w:r>
            <w:r w:rsidRPr="00040D30">
              <w:rPr>
                <w:rFonts w:ascii="Arial" w:hAnsi="Arial"/>
                <w:sz w:val="20"/>
                <w:szCs w:val="20"/>
                <w:lang w:val="es-MX"/>
              </w:rPr>
              <w:t>.</w:t>
            </w:r>
          </w:p>
          <w:p w14:paraId="3344E65F" w14:textId="462D9BBB" w:rsidR="002C6B38" w:rsidRPr="00293BB3" w:rsidRDefault="002C6B38" w:rsidP="000B702B">
            <w:pPr>
              <w:pStyle w:val="Prrafodelista"/>
              <w:spacing w:before="240" w:after="120"/>
              <w:ind w:left="1068"/>
              <w:jc w:val="both"/>
              <w:rPr>
                <w:rFonts w:ascii="Arial" w:hAnsi="Arial"/>
                <w:color w:val="FF0000"/>
                <w:sz w:val="20"/>
                <w:szCs w:val="20"/>
                <w:lang w:val="es-MX"/>
              </w:rPr>
            </w:pPr>
          </w:p>
        </w:tc>
      </w:tr>
      <w:bookmarkEnd w:id="0"/>
      <w:bookmarkEnd w:id="1"/>
    </w:tbl>
    <w:p w14:paraId="615CBBEE" w14:textId="1C7D0672" w:rsidR="00076082" w:rsidRPr="003C33F5" w:rsidRDefault="00076082" w:rsidP="009F6EE7">
      <w:pPr>
        <w:spacing w:after="120" w:line="240" w:lineRule="auto"/>
        <w:jc w:val="both"/>
        <w:rPr>
          <w:color w:val="FF0000"/>
          <w:sz w:val="18"/>
        </w:rPr>
      </w:pPr>
    </w:p>
    <w:sectPr w:rsidR="00076082" w:rsidRPr="003C33F5" w:rsidSect="008E10DB">
      <w:pgSz w:w="11906" w:h="16838"/>
      <w:pgMar w:top="1417"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8497" w14:textId="77777777" w:rsidR="00EB3601" w:rsidRDefault="00EB3601" w:rsidP="00020DDF">
      <w:pPr>
        <w:spacing w:after="0" w:line="240" w:lineRule="auto"/>
      </w:pPr>
      <w:r>
        <w:separator/>
      </w:r>
    </w:p>
  </w:endnote>
  <w:endnote w:type="continuationSeparator" w:id="0">
    <w:p w14:paraId="70EC045F" w14:textId="77777777" w:rsidR="00EB3601" w:rsidRDefault="00EB3601" w:rsidP="0002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8CC5B" w14:textId="77777777" w:rsidR="00EB3601" w:rsidRDefault="00EB3601" w:rsidP="00020DDF">
      <w:pPr>
        <w:spacing w:after="0" w:line="240" w:lineRule="auto"/>
      </w:pPr>
      <w:r>
        <w:separator/>
      </w:r>
    </w:p>
  </w:footnote>
  <w:footnote w:type="continuationSeparator" w:id="0">
    <w:p w14:paraId="1AB6EAD1" w14:textId="77777777" w:rsidR="00EB3601" w:rsidRDefault="00EB3601" w:rsidP="00020DDF">
      <w:pPr>
        <w:spacing w:after="0" w:line="240" w:lineRule="auto"/>
      </w:pPr>
      <w:r>
        <w:continuationSeparator/>
      </w:r>
    </w:p>
  </w:footnote>
  <w:footnote w:id="1">
    <w:p w14:paraId="37BD4ADB" w14:textId="2B8A0090" w:rsidR="000231F2" w:rsidRDefault="000231F2">
      <w:pPr>
        <w:pStyle w:val="Textonotapie"/>
      </w:pPr>
      <w:r>
        <w:rPr>
          <w:rStyle w:val="Refdenotaalpie"/>
        </w:rPr>
        <w:footnoteRef/>
      </w:r>
      <w:r>
        <w:t xml:space="preserve"> </w:t>
      </w:r>
      <w:r w:rsidRPr="009328B4">
        <w:rPr>
          <w:rFonts w:ascii="Arial" w:hAnsi="Arial"/>
          <w:sz w:val="16"/>
          <w:szCs w:val="16"/>
        </w:rPr>
        <w:t xml:space="preserve">Modelo de </w:t>
      </w:r>
      <w:r>
        <w:rPr>
          <w:rFonts w:ascii="Arial" w:hAnsi="Arial"/>
          <w:sz w:val="16"/>
          <w:szCs w:val="16"/>
        </w:rPr>
        <w:t xml:space="preserve">servicio educativo </w:t>
      </w:r>
      <w:r w:rsidRPr="009328B4">
        <w:rPr>
          <w:rFonts w:ascii="Arial" w:hAnsi="Arial"/>
          <w:sz w:val="16"/>
          <w:szCs w:val="16"/>
        </w:rPr>
        <w:t xml:space="preserve">aprobado por Resolución Ministerial </w:t>
      </w:r>
      <w:proofErr w:type="spellStart"/>
      <w:r w:rsidRPr="009328B4">
        <w:rPr>
          <w:rFonts w:ascii="Arial" w:hAnsi="Arial"/>
          <w:sz w:val="16"/>
          <w:szCs w:val="16"/>
        </w:rPr>
        <w:t>Nº</w:t>
      </w:r>
      <w:proofErr w:type="spellEnd"/>
      <w:r w:rsidRPr="009328B4">
        <w:rPr>
          <w:rFonts w:ascii="Arial" w:hAnsi="Arial"/>
          <w:sz w:val="16"/>
          <w:szCs w:val="16"/>
        </w:rPr>
        <w:t xml:space="preserve"> 274-2014-</w:t>
      </w:r>
      <w:proofErr w:type="gramStart"/>
      <w:r w:rsidRPr="009328B4">
        <w:rPr>
          <w:rFonts w:ascii="Arial" w:hAnsi="Arial"/>
          <w:sz w:val="16"/>
          <w:szCs w:val="16"/>
        </w:rPr>
        <w:t>MINEDU</w:t>
      </w:r>
      <w:r>
        <w:rPr>
          <w:rFonts w:ascii="Arial" w:hAnsi="Arial"/>
          <w:sz w:val="16"/>
          <w:szCs w:val="16"/>
        </w:rPr>
        <w:t>,</w:t>
      </w:r>
      <w:r w:rsidR="00355EFD">
        <w:rPr>
          <w:rFonts w:ascii="Arial" w:hAnsi="Arial"/>
          <w:sz w:val="16"/>
          <w:szCs w:val="16"/>
        </w:rPr>
        <w:t>modificado</w:t>
      </w:r>
      <w:proofErr w:type="gramEnd"/>
      <w:r w:rsidR="00355EFD">
        <w:rPr>
          <w:rFonts w:ascii="Arial" w:hAnsi="Arial"/>
          <w:sz w:val="16"/>
          <w:szCs w:val="16"/>
        </w:rPr>
        <w:t xml:space="preserve"> por Resoluciones</w:t>
      </w:r>
      <w:r>
        <w:rPr>
          <w:rFonts w:ascii="Arial" w:hAnsi="Arial"/>
          <w:sz w:val="16"/>
          <w:szCs w:val="16"/>
        </w:rPr>
        <w:t xml:space="preserve"> Ministeriales </w:t>
      </w:r>
      <w:proofErr w:type="spellStart"/>
      <w:r>
        <w:rPr>
          <w:rFonts w:ascii="Arial" w:hAnsi="Arial"/>
          <w:sz w:val="16"/>
          <w:szCs w:val="16"/>
        </w:rPr>
        <w:t>N°</w:t>
      </w:r>
      <w:proofErr w:type="spellEnd"/>
      <w:r>
        <w:rPr>
          <w:rFonts w:ascii="Arial" w:hAnsi="Arial"/>
          <w:sz w:val="16"/>
          <w:szCs w:val="16"/>
        </w:rPr>
        <w:t xml:space="preserve"> 446-2014-MINEDU</w:t>
      </w:r>
      <w:r w:rsidR="00355EFD">
        <w:rPr>
          <w:rFonts w:ascii="Arial" w:hAnsi="Arial"/>
          <w:sz w:val="16"/>
          <w:szCs w:val="16"/>
        </w:rPr>
        <w:t xml:space="preserve">, </w:t>
      </w:r>
      <w:proofErr w:type="spellStart"/>
      <w:r w:rsidR="00355EFD">
        <w:rPr>
          <w:rFonts w:ascii="Arial" w:hAnsi="Arial"/>
          <w:sz w:val="16"/>
          <w:szCs w:val="16"/>
        </w:rPr>
        <w:t>N°</w:t>
      </w:r>
      <w:proofErr w:type="spellEnd"/>
      <w:r w:rsidR="00355EFD">
        <w:rPr>
          <w:rFonts w:ascii="Arial" w:hAnsi="Arial"/>
          <w:sz w:val="16"/>
          <w:szCs w:val="16"/>
        </w:rPr>
        <w:t xml:space="preserve"> 438-2016-MINEDU, </w:t>
      </w:r>
      <w:proofErr w:type="spellStart"/>
      <w:r w:rsidR="00355EFD">
        <w:rPr>
          <w:rFonts w:ascii="Arial" w:hAnsi="Arial"/>
          <w:sz w:val="16"/>
          <w:szCs w:val="16"/>
        </w:rPr>
        <w:t>N°</w:t>
      </w:r>
      <w:proofErr w:type="spellEnd"/>
      <w:r w:rsidR="00355EFD">
        <w:rPr>
          <w:rFonts w:ascii="Arial" w:hAnsi="Arial"/>
          <w:sz w:val="16"/>
          <w:szCs w:val="16"/>
        </w:rPr>
        <w:t xml:space="preserve"> 315-2021-MINEDU y actualizado por Resoluciones Ministerial </w:t>
      </w:r>
      <w:proofErr w:type="spellStart"/>
      <w:r w:rsidR="00355EFD">
        <w:rPr>
          <w:rFonts w:ascii="Arial" w:hAnsi="Arial"/>
          <w:sz w:val="16"/>
          <w:szCs w:val="16"/>
        </w:rPr>
        <w:t>N°</w:t>
      </w:r>
      <w:proofErr w:type="spellEnd"/>
      <w:r w:rsidR="00355EFD">
        <w:rPr>
          <w:rFonts w:ascii="Arial" w:hAnsi="Arial"/>
          <w:sz w:val="16"/>
          <w:szCs w:val="16"/>
        </w:rPr>
        <w:t xml:space="preserve"> 537-2019-MINEDU y </w:t>
      </w:r>
      <w:proofErr w:type="spellStart"/>
      <w:r w:rsidR="00355EFD">
        <w:rPr>
          <w:rFonts w:ascii="Arial" w:hAnsi="Arial"/>
          <w:sz w:val="16"/>
          <w:szCs w:val="16"/>
        </w:rPr>
        <w:t>N°</w:t>
      </w:r>
      <w:proofErr w:type="spellEnd"/>
      <w:r w:rsidR="00355EFD">
        <w:rPr>
          <w:rFonts w:ascii="Arial" w:hAnsi="Arial"/>
          <w:sz w:val="16"/>
          <w:szCs w:val="16"/>
        </w:rPr>
        <w:t xml:space="preserve"> 139-2023-MINEDU.</w:t>
      </w:r>
    </w:p>
  </w:footnote>
  <w:footnote w:id="2">
    <w:p w14:paraId="76D3CC31" w14:textId="77777777" w:rsidR="000231F2" w:rsidRPr="00945394" w:rsidRDefault="000231F2" w:rsidP="005A23AD">
      <w:pPr>
        <w:pStyle w:val="Textonotapie"/>
        <w:jc w:val="both"/>
        <w:rPr>
          <w:rFonts w:ascii="Arial" w:hAnsi="Arial"/>
          <w:sz w:val="16"/>
          <w:szCs w:val="16"/>
        </w:rPr>
      </w:pPr>
      <w:r w:rsidRPr="00945394">
        <w:rPr>
          <w:rStyle w:val="Refdenotaalpie"/>
          <w:rFonts w:ascii="Arial" w:hAnsi="Arial"/>
          <w:sz w:val="16"/>
          <w:szCs w:val="16"/>
        </w:rPr>
        <w:footnoteRef/>
      </w:r>
      <w:r w:rsidRPr="00945394">
        <w:rPr>
          <w:rFonts w:ascii="Arial" w:hAnsi="Arial"/>
          <w:sz w:val="16"/>
          <w:szCs w:val="16"/>
        </w:rPr>
        <w:t xml:space="preserve"> Párrafo 13 del artículo 5 de la Directiva </w:t>
      </w:r>
      <w:proofErr w:type="spellStart"/>
      <w:r w:rsidRPr="00945394">
        <w:rPr>
          <w:rFonts w:ascii="Arial" w:hAnsi="Arial"/>
          <w:sz w:val="16"/>
          <w:szCs w:val="16"/>
        </w:rPr>
        <w:t>N°</w:t>
      </w:r>
      <w:proofErr w:type="spellEnd"/>
      <w:r w:rsidRPr="00945394">
        <w:rPr>
          <w:rFonts w:ascii="Arial" w:hAnsi="Arial"/>
          <w:sz w:val="16"/>
          <w:szCs w:val="16"/>
        </w:rPr>
        <w:t xml:space="preserve"> 001-2019-EF/63.01, Directiva General del Sistema de Programación Multianual y Gestión de Inversiones aprobado por Resolución Directoral </w:t>
      </w:r>
      <w:proofErr w:type="spellStart"/>
      <w:r w:rsidRPr="00945394">
        <w:rPr>
          <w:rFonts w:ascii="Arial" w:hAnsi="Arial"/>
          <w:sz w:val="16"/>
          <w:szCs w:val="16"/>
        </w:rPr>
        <w:t>N°</w:t>
      </w:r>
      <w:proofErr w:type="spellEnd"/>
      <w:r w:rsidRPr="00945394">
        <w:rPr>
          <w:rFonts w:ascii="Arial" w:hAnsi="Arial"/>
          <w:sz w:val="16"/>
          <w:szCs w:val="16"/>
        </w:rPr>
        <w:t xml:space="preserve"> 001-2019-EF/63.01 y sus modificatorias.</w:t>
      </w:r>
    </w:p>
  </w:footnote>
  <w:footnote w:id="3">
    <w:p w14:paraId="364D5BE1" w14:textId="77777777" w:rsidR="000231F2" w:rsidRPr="00CA3715" w:rsidRDefault="000231F2" w:rsidP="005A23AD">
      <w:pPr>
        <w:pStyle w:val="Textonotapie"/>
        <w:jc w:val="both"/>
        <w:rPr>
          <w:rFonts w:ascii="Arial" w:hAnsi="Arial"/>
          <w:sz w:val="16"/>
          <w:szCs w:val="16"/>
        </w:rPr>
      </w:pPr>
      <w:r w:rsidRPr="00945394">
        <w:rPr>
          <w:rStyle w:val="Refdenotaalpie"/>
          <w:rFonts w:ascii="Arial" w:hAnsi="Arial"/>
          <w:sz w:val="16"/>
          <w:szCs w:val="16"/>
        </w:rPr>
        <w:footnoteRef/>
      </w:r>
      <w:r w:rsidRPr="00945394">
        <w:rPr>
          <w:rFonts w:ascii="Arial" w:hAnsi="Arial"/>
          <w:sz w:val="16"/>
          <w:szCs w:val="16"/>
        </w:rPr>
        <w:t xml:space="preserve"> Artículo 6 de la norma técnica "Criterios Generales de Diseño para Infraestructura Educativa", aprobada mediante Resolución Viceministerial </w:t>
      </w:r>
      <w:proofErr w:type="spellStart"/>
      <w:r w:rsidRPr="00945394">
        <w:rPr>
          <w:rFonts w:ascii="Arial" w:hAnsi="Arial"/>
          <w:sz w:val="16"/>
          <w:szCs w:val="16"/>
        </w:rPr>
        <w:t>N°</w:t>
      </w:r>
      <w:proofErr w:type="spellEnd"/>
      <w:r w:rsidRPr="00945394">
        <w:rPr>
          <w:rFonts w:ascii="Arial" w:hAnsi="Arial"/>
          <w:sz w:val="16"/>
          <w:szCs w:val="16"/>
        </w:rPr>
        <w:t xml:space="preserve"> 010-2022-MINEDU.</w:t>
      </w:r>
    </w:p>
  </w:footnote>
  <w:footnote w:id="4">
    <w:p w14:paraId="531CFB55" w14:textId="733E1D89" w:rsidR="005723AF" w:rsidRDefault="005723AF" w:rsidP="005A5A3D">
      <w:pPr>
        <w:pStyle w:val="Textonotapie"/>
        <w:jc w:val="both"/>
      </w:pPr>
      <w:r w:rsidRPr="005A5A3D">
        <w:rPr>
          <w:rStyle w:val="Refdenotaalpie"/>
          <w:rFonts w:ascii="Arial" w:hAnsi="Arial"/>
          <w:sz w:val="16"/>
          <w:szCs w:val="16"/>
        </w:rPr>
        <w:footnoteRef/>
      </w:r>
      <w:r w:rsidRPr="005A5A3D">
        <w:rPr>
          <w:rStyle w:val="Refdenotaalpie"/>
          <w:rFonts w:ascii="Arial" w:hAnsi="Arial"/>
          <w:sz w:val="16"/>
          <w:szCs w:val="16"/>
        </w:rPr>
        <w:t xml:space="preserve"> </w:t>
      </w:r>
      <w:r w:rsidRPr="005A5A3D">
        <w:rPr>
          <w:rFonts w:ascii="Arial" w:hAnsi="Arial"/>
          <w:sz w:val="16"/>
          <w:szCs w:val="16"/>
        </w:rPr>
        <w:t>Definición extraída del Punto 7:</w:t>
      </w:r>
      <w:r w:rsidR="00812527">
        <w:rPr>
          <w:rFonts w:ascii="Arial" w:hAnsi="Arial"/>
          <w:sz w:val="16"/>
          <w:szCs w:val="16"/>
        </w:rPr>
        <w:t xml:space="preserve"> Definición de la población objetivo, del documento denominado “</w:t>
      </w:r>
      <w:r w:rsidR="00812527" w:rsidRPr="009328B4">
        <w:rPr>
          <w:rFonts w:ascii="Arial" w:hAnsi="Arial"/>
          <w:sz w:val="16"/>
          <w:szCs w:val="16"/>
        </w:rPr>
        <w:t>Modelo de servicio Educativo para la atención de estudiantes de alto desempeño</w:t>
      </w:r>
      <w:r w:rsidR="00812527">
        <w:rPr>
          <w:rFonts w:ascii="Arial" w:hAnsi="Arial"/>
          <w:sz w:val="16"/>
          <w:szCs w:val="16"/>
        </w:rPr>
        <w:t xml:space="preserve"> </w:t>
      </w:r>
      <w:r w:rsidR="00812527" w:rsidRPr="006503AE">
        <w:rPr>
          <w:rFonts w:ascii="Arial" w:hAnsi="Arial"/>
          <w:sz w:val="16"/>
          <w:szCs w:val="16"/>
        </w:rPr>
        <w:t>académico, artístico y/o deportivo</w:t>
      </w:r>
      <w:r w:rsidR="00812527">
        <w:rPr>
          <w:rFonts w:ascii="Arial" w:hAnsi="Arial"/>
          <w:sz w:val="16"/>
          <w:szCs w:val="16"/>
        </w:rPr>
        <w:t>”.</w:t>
      </w:r>
    </w:p>
  </w:footnote>
  <w:footnote w:id="5">
    <w:p w14:paraId="7E3FAB4F" w14:textId="0FA41A5E" w:rsidR="00812527" w:rsidRDefault="00812527">
      <w:pPr>
        <w:pStyle w:val="Textonotapie"/>
      </w:pPr>
      <w:r>
        <w:rPr>
          <w:rStyle w:val="Refdenotaalpie"/>
        </w:rPr>
        <w:footnoteRef/>
      </w:r>
      <w:r>
        <w:t xml:space="preserve"> </w:t>
      </w:r>
      <w:r w:rsidRPr="006503AE">
        <w:rPr>
          <w:rFonts w:ascii="Arial" w:hAnsi="Arial"/>
          <w:sz w:val="16"/>
          <w:szCs w:val="16"/>
        </w:rPr>
        <w:t xml:space="preserve">Definición extraída del Punto </w:t>
      </w:r>
      <w:r>
        <w:rPr>
          <w:rFonts w:ascii="Arial" w:hAnsi="Arial"/>
          <w:sz w:val="16"/>
          <w:szCs w:val="16"/>
        </w:rPr>
        <w:t>8.1.1.5</w:t>
      </w:r>
      <w:r w:rsidRPr="006503AE">
        <w:rPr>
          <w:rFonts w:ascii="Arial" w:hAnsi="Arial"/>
          <w:sz w:val="16"/>
          <w:szCs w:val="16"/>
        </w:rPr>
        <w:t>:</w:t>
      </w:r>
      <w:r>
        <w:rPr>
          <w:rFonts w:ascii="Arial" w:hAnsi="Arial"/>
          <w:sz w:val="16"/>
          <w:szCs w:val="16"/>
        </w:rPr>
        <w:t xml:space="preserve"> Plan de estudios, del documento denominado “</w:t>
      </w:r>
      <w:r w:rsidRPr="009328B4">
        <w:rPr>
          <w:rFonts w:ascii="Arial" w:hAnsi="Arial"/>
          <w:sz w:val="16"/>
          <w:szCs w:val="16"/>
        </w:rPr>
        <w:t>Modelo de servicio Educativo para la atención de estudiantes de alto desempeño</w:t>
      </w:r>
      <w:r>
        <w:rPr>
          <w:rFonts w:ascii="Arial" w:hAnsi="Arial"/>
          <w:sz w:val="16"/>
          <w:szCs w:val="16"/>
        </w:rPr>
        <w:t xml:space="preserve"> </w:t>
      </w:r>
      <w:r w:rsidRPr="006503AE">
        <w:rPr>
          <w:rFonts w:ascii="Arial" w:hAnsi="Arial"/>
          <w:sz w:val="16"/>
          <w:szCs w:val="16"/>
        </w:rPr>
        <w:t>académico, artístico y/o deportivo</w:t>
      </w:r>
      <w:r>
        <w:rPr>
          <w:rFonts w:ascii="Arial" w:hAnsi="Arial"/>
          <w:sz w:val="16"/>
          <w:szCs w:val="16"/>
        </w:rPr>
        <w:t>”.</w:t>
      </w:r>
    </w:p>
  </w:footnote>
  <w:footnote w:id="6">
    <w:p w14:paraId="0988A82D" w14:textId="68446203" w:rsidR="000231F2" w:rsidRPr="005A5A3D" w:rsidRDefault="000231F2" w:rsidP="005A23AD">
      <w:pPr>
        <w:pStyle w:val="Textonotapie"/>
        <w:jc w:val="both"/>
        <w:rPr>
          <w:rFonts w:ascii="Arial" w:hAnsi="Arial"/>
          <w:sz w:val="16"/>
          <w:szCs w:val="16"/>
        </w:rPr>
      </w:pPr>
      <w:r w:rsidRPr="009328B4">
        <w:rPr>
          <w:rStyle w:val="Refdenotaalpie"/>
          <w:rFonts w:ascii="Arial" w:hAnsi="Arial"/>
          <w:sz w:val="16"/>
          <w:szCs w:val="16"/>
        </w:rPr>
        <w:footnoteRef/>
      </w:r>
      <w:r w:rsidRPr="009328B4">
        <w:rPr>
          <w:rFonts w:ascii="Arial" w:hAnsi="Arial"/>
          <w:sz w:val="16"/>
          <w:szCs w:val="16"/>
        </w:rPr>
        <w:t xml:space="preserve"> “Modelo de servicio Educativo para la atención de estudiantes de alto desempeño</w:t>
      </w:r>
      <w:r>
        <w:rPr>
          <w:rFonts w:ascii="Arial" w:hAnsi="Arial"/>
          <w:sz w:val="16"/>
          <w:szCs w:val="16"/>
        </w:rPr>
        <w:t xml:space="preserve"> </w:t>
      </w:r>
      <w:r w:rsidRPr="005A5A3D">
        <w:rPr>
          <w:rFonts w:ascii="Arial" w:hAnsi="Arial"/>
          <w:sz w:val="16"/>
          <w:szCs w:val="16"/>
        </w:rPr>
        <w:t>académico, artístico y/o deportivo</w:t>
      </w:r>
      <w:r w:rsidRPr="009328B4">
        <w:rPr>
          <w:rFonts w:ascii="Arial" w:hAnsi="Arial"/>
          <w:sz w:val="16"/>
          <w:szCs w:val="16"/>
        </w:rPr>
        <w:t xml:space="preserve">” aprobado por Resolución Ministerial </w:t>
      </w:r>
      <w:proofErr w:type="spellStart"/>
      <w:r w:rsidRPr="009328B4">
        <w:rPr>
          <w:rFonts w:ascii="Arial" w:hAnsi="Arial"/>
          <w:sz w:val="16"/>
          <w:szCs w:val="16"/>
        </w:rPr>
        <w:t>Nº</w:t>
      </w:r>
      <w:proofErr w:type="spellEnd"/>
      <w:r w:rsidRPr="009328B4">
        <w:rPr>
          <w:rFonts w:ascii="Arial" w:hAnsi="Arial"/>
          <w:sz w:val="16"/>
          <w:szCs w:val="16"/>
        </w:rPr>
        <w:t xml:space="preserve"> 274-2014-</w:t>
      </w:r>
      <w:proofErr w:type="gramStart"/>
      <w:r w:rsidRPr="009328B4">
        <w:rPr>
          <w:rFonts w:ascii="Arial" w:hAnsi="Arial"/>
          <w:sz w:val="16"/>
          <w:szCs w:val="16"/>
        </w:rPr>
        <w:t>MINEDU</w:t>
      </w:r>
      <w:r w:rsidR="00355EFD">
        <w:rPr>
          <w:rFonts w:ascii="Arial" w:hAnsi="Arial"/>
          <w:sz w:val="16"/>
          <w:szCs w:val="16"/>
        </w:rPr>
        <w:t>,s</w:t>
      </w:r>
      <w:r w:rsidRPr="009328B4">
        <w:rPr>
          <w:rFonts w:ascii="Arial" w:hAnsi="Arial"/>
          <w:sz w:val="16"/>
          <w:szCs w:val="16"/>
        </w:rPr>
        <w:t>us</w:t>
      </w:r>
      <w:proofErr w:type="gramEnd"/>
      <w:r w:rsidRPr="009328B4">
        <w:rPr>
          <w:rFonts w:ascii="Arial" w:hAnsi="Arial"/>
          <w:sz w:val="16"/>
          <w:szCs w:val="16"/>
        </w:rPr>
        <w:t xml:space="preserve"> modificatorias</w:t>
      </w:r>
      <w:r w:rsidR="00355EFD">
        <w:rPr>
          <w:rFonts w:ascii="Arial" w:hAnsi="Arial"/>
          <w:sz w:val="16"/>
          <w:szCs w:val="16"/>
        </w:rPr>
        <w:t xml:space="preserve"> y actualizaciones</w:t>
      </w:r>
      <w:r w:rsidRPr="009328B4">
        <w:rPr>
          <w:rFonts w:ascii="Arial" w:hAnsi="Arial"/>
          <w:sz w:val="16"/>
          <w:szCs w:val="16"/>
        </w:rPr>
        <w:t>.</w:t>
      </w:r>
    </w:p>
  </w:footnote>
  <w:footnote w:id="7">
    <w:p w14:paraId="2392EEF2" w14:textId="6DE9D039" w:rsidR="00D212A5" w:rsidRDefault="00D212A5">
      <w:pPr>
        <w:pStyle w:val="Textonotapie"/>
      </w:pPr>
      <w:r>
        <w:rPr>
          <w:rStyle w:val="Refdenotaalpie"/>
        </w:rPr>
        <w:footnoteRef/>
      </w:r>
      <w:r>
        <w:t xml:space="preserve"> </w:t>
      </w:r>
      <w:r w:rsidRPr="006503AE">
        <w:rPr>
          <w:rFonts w:ascii="Arial" w:hAnsi="Arial"/>
          <w:sz w:val="16"/>
          <w:szCs w:val="16"/>
        </w:rPr>
        <w:t xml:space="preserve">Definición extraída del Punto </w:t>
      </w:r>
      <w:r>
        <w:rPr>
          <w:rFonts w:ascii="Arial" w:hAnsi="Arial"/>
          <w:sz w:val="16"/>
          <w:szCs w:val="16"/>
        </w:rPr>
        <w:t>6.1</w:t>
      </w:r>
      <w:r w:rsidRPr="006503AE">
        <w:rPr>
          <w:rFonts w:ascii="Arial" w:hAnsi="Arial"/>
          <w:sz w:val="16"/>
          <w:szCs w:val="16"/>
        </w:rPr>
        <w:t>:</w:t>
      </w:r>
      <w:r>
        <w:rPr>
          <w:rFonts w:ascii="Arial" w:hAnsi="Arial"/>
          <w:sz w:val="16"/>
          <w:szCs w:val="16"/>
        </w:rPr>
        <w:t xml:space="preserve"> Foras de atención del MSE Sobresaliente, del documento denominado “</w:t>
      </w:r>
      <w:r w:rsidRPr="009328B4">
        <w:rPr>
          <w:rFonts w:ascii="Arial" w:hAnsi="Arial"/>
          <w:sz w:val="16"/>
          <w:szCs w:val="16"/>
        </w:rPr>
        <w:t>Modelo de servicio Educativo para la atención de estudiantes de alto desempeño</w:t>
      </w:r>
      <w:r>
        <w:rPr>
          <w:rFonts w:ascii="Arial" w:hAnsi="Arial"/>
          <w:sz w:val="16"/>
          <w:szCs w:val="16"/>
        </w:rPr>
        <w:t xml:space="preserve"> </w:t>
      </w:r>
      <w:r w:rsidRPr="006503AE">
        <w:rPr>
          <w:rFonts w:ascii="Arial" w:hAnsi="Arial"/>
          <w:sz w:val="16"/>
          <w:szCs w:val="16"/>
        </w:rPr>
        <w:t>académico, artístico y/o deportivo</w:t>
      </w:r>
      <w:r>
        <w:rPr>
          <w:rFonts w:ascii="Arial" w:hAnsi="Arial"/>
          <w:sz w:val="16"/>
          <w:szCs w:val="16"/>
        </w:rPr>
        <w:t>”.</w:t>
      </w:r>
    </w:p>
  </w:footnote>
  <w:footnote w:id="8">
    <w:p w14:paraId="1C60C429" w14:textId="77777777" w:rsidR="000231F2" w:rsidRPr="00993ABF" w:rsidRDefault="000231F2" w:rsidP="005A23AD">
      <w:pPr>
        <w:pStyle w:val="Textonotapie"/>
        <w:jc w:val="both"/>
        <w:rPr>
          <w:rFonts w:ascii="Arial" w:hAnsi="Arial"/>
          <w:sz w:val="16"/>
          <w:szCs w:val="16"/>
        </w:rPr>
      </w:pPr>
      <w:r w:rsidRPr="00993ABF">
        <w:rPr>
          <w:rStyle w:val="Refdenotaalpie"/>
          <w:rFonts w:ascii="Arial" w:hAnsi="Arial"/>
          <w:sz w:val="16"/>
          <w:szCs w:val="16"/>
        </w:rPr>
        <w:footnoteRef/>
      </w:r>
      <w:r w:rsidRPr="00993ABF">
        <w:rPr>
          <w:rFonts w:ascii="Arial" w:hAnsi="Arial"/>
          <w:sz w:val="16"/>
          <w:szCs w:val="16"/>
        </w:rPr>
        <w:t xml:space="preserve"> La base datos fue construida mediante la aplicación del documento denominado “Criterios que Permiten Estimar el Estado de las Unidades Productoras del Sector Educación en el marco del Invierte.pe” el cual forma parte del Informe </w:t>
      </w:r>
      <w:proofErr w:type="spellStart"/>
      <w:r w:rsidRPr="00993ABF">
        <w:rPr>
          <w:rFonts w:ascii="Arial" w:hAnsi="Arial"/>
          <w:sz w:val="16"/>
          <w:szCs w:val="16"/>
        </w:rPr>
        <w:t>Nº</w:t>
      </w:r>
      <w:proofErr w:type="spellEnd"/>
      <w:r w:rsidRPr="00993ABF">
        <w:rPr>
          <w:rFonts w:ascii="Arial" w:hAnsi="Arial"/>
          <w:sz w:val="16"/>
          <w:szCs w:val="16"/>
        </w:rPr>
        <w:t xml:space="preserve"> 00598-2021-MINEDU/SPE-OPEP-UPI</w:t>
      </w:r>
      <w:r>
        <w:rPr>
          <w:rFonts w:ascii="Arial" w:hAnsi="Arial"/>
          <w:sz w:val="16"/>
          <w:szCs w:val="16"/>
        </w:rPr>
        <w:t>.</w:t>
      </w:r>
    </w:p>
  </w:footnote>
  <w:footnote w:id="9">
    <w:p w14:paraId="07B7F960" w14:textId="77777777" w:rsidR="00D212A5" w:rsidRDefault="00D212A5" w:rsidP="00D212A5">
      <w:pPr>
        <w:pStyle w:val="Textonotapie"/>
      </w:pPr>
      <w:r w:rsidRPr="00F8530A">
        <w:rPr>
          <w:rStyle w:val="Refdenotaalpie"/>
        </w:rPr>
        <w:footnoteRef/>
      </w:r>
      <w:r w:rsidRPr="00F8530A">
        <w:rPr>
          <w:rStyle w:val="Refdenotaalpie"/>
        </w:rPr>
        <w:t xml:space="preserve"> </w:t>
      </w:r>
      <w:r w:rsidRPr="00F8530A">
        <w:rPr>
          <w:rFonts w:ascii="Arial" w:hAnsi="Arial"/>
          <w:sz w:val="16"/>
          <w:szCs w:val="16"/>
          <w:lang w:val="es-PE"/>
        </w:rPr>
        <w:t>Fuente de definiciones: Manual del director, Cedula 11: Local Educativo de la Ficha Única de Infraestructura Educativa - FUIE del censo 2022</w:t>
      </w:r>
    </w:p>
  </w:footnote>
  <w:footnote w:id="10">
    <w:p w14:paraId="47522339" w14:textId="2270F4CB" w:rsidR="000231F2" w:rsidRPr="009328B4" w:rsidRDefault="000231F2" w:rsidP="005A23AD">
      <w:pPr>
        <w:pStyle w:val="Textonotapie"/>
        <w:contextualSpacing/>
        <w:jc w:val="both"/>
        <w:rPr>
          <w:rFonts w:ascii="Arial" w:hAnsi="Arial"/>
          <w:sz w:val="16"/>
          <w:szCs w:val="16"/>
        </w:rPr>
      </w:pPr>
      <w:r w:rsidRPr="009328B4">
        <w:rPr>
          <w:rStyle w:val="Refdenotaalpie"/>
          <w:rFonts w:ascii="Arial" w:hAnsi="Arial"/>
          <w:sz w:val="16"/>
          <w:szCs w:val="16"/>
        </w:rPr>
        <w:footnoteRef/>
      </w:r>
      <w:r w:rsidRPr="009328B4">
        <w:rPr>
          <w:rFonts w:ascii="Arial" w:hAnsi="Arial"/>
          <w:sz w:val="16"/>
          <w:szCs w:val="16"/>
        </w:rPr>
        <w:t xml:space="preserve"> Las inversiones referidas en los literales b), c) y d) no se encuentran alineadas a las normas del Invierte.pe y su metodología general.</w:t>
      </w:r>
    </w:p>
  </w:footnote>
  <w:footnote w:id="11">
    <w:p w14:paraId="351E22BD" w14:textId="77777777" w:rsidR="000231F2" w:rsidRPr="006572B3" w:rsidRDefault="000231F2" w:rsidP="005A23AD">
      <w:pPr>
        <w:spacing w:after="0" w:line="240" w:lineRule="auto"/>
        <w:contextualSpacing/>
        <w:jc w:val="both"/>
        <w:rPr>
          <w:rFonts w:ascii="Arial" w:hAnsi="Arial"/>
        </w:rPr>
      </w:pPr>
      <w:r w:rsidRPr="009328B4">
        <w:rPr>
          <w:rStyle w:val="Refdenotaalpie"/>
          <w:rFonts w:ascii="Arial" w:hAnsi="Arial" w:cs="Arial"/>
          <w:sz w:val="16"/>
          <w:szCs w:val="16"/>
        </w:rPr>
        <w:footnoteRef/>
      </w:r>
      <w:r w:rsidRPr="009328B4">
        <w:rPr>
          <w:rFonts w:ascii="Arial" w:hAnsi="Arial" w:cs="Arial"/>
          <w:sz w:val="16"/>
          <w:szCs w:val="16"/>
        </w:rPr>
        <w:t xml:space="preserve"> Sujeto a variación de acuerdo con las precisiones o lineamientos técnicos sobre la contribución de las IOARR al cierre de las brechas, que la Dirección General de Programación Multianual de Inversiones (DGPMI) del MEF brinde.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A3B21"/>
    <w:multiLevelType w:val="hybridMultilevel"/>
    <w:tmpl w:val="40A66F2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 w15:restartNumberingAfterBreak="0">
    <w:nsid w:val="14FC4D4F"/>
    <w:multiLevelType w:val="hybridMultilevel"/>
    <w:tmpl w:val="1E7E1F7A"/>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6B57AC"/>
    <w:multiLevelType w:val="hybridMultilevel"/>
    <w:tmpl w:val="9BF216FC"/>
    <w:lvl w:ilvl="0" w:tplc="B812213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39F22A64"/>
    <w:multiLevelType w:val="hybridMultilevel"/>
    <w:tmpl w:val="AE18472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rPr>
        <w:rFonts w:hint="default"/>
      </w:rPr>
    </w:lvl>
    <w:lvl w:ilvl="2" w:tplc="280A001B">
      <w:start w:val="1"/>
      <w:numFmt w:val="lowerRoman"/>
      <w:lvlText w:val="%3."/>
      <w:lvlJc w:val="righ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0F35A74"/>
    <w:multiLevelType w:val="hybridMultilevel"/>
    <w:tmpl w:val="02FCD7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47A83FC3"/>
    <w:multiLevelType w:val="hybridMultilevel"/>
    <w:tmpl w:val="DB224A82"/>
    <w:lvl w:ilvl="0" w:tplc="EFECC35A">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0436D7A"/>
    <w:multiLevelType w:val="hybridMultilevel"/>
    <w:tmpl w:val="40A66F2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5CE92185"/>
    <w:multiLevelType w:val="hybridMultilevel"/>
    <w:tmpl w:val="433E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C5F3C"/>
    <w:multiLevelType w:val="hybridMultilevel"/>
    <w:tmpl w:val="A26A4B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705D5E82"/>
    <w:multiLevelType w:val="hybridMultilevel"/>
    <w:tmpl w:val="D8C219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95778"/>
    <w:multiLevelType w:val="hybridMultilevel"/>
    <w:tmpl w:val="9B6E6DC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8394912">
    <w:abstractNumId w:val="5"/>
  </w:num>
  <w:num w:numId="2" w16cid:durableId="1932813252">
    <w:abstractNumId w:val="3"/>
  </w:num>
  <w:num w:numId="3" w16cid:durableId="1937253462">
    <w:abstractNumId w:val="2"/>
  </w:num>
  <w:num w:numId="4" w16cid:durableId="617301087">
    <w:abstractNumId w:val="10"/>
  </w:num>
  <w:num w:numId="5" w16cid:durableId="1284966225">
    <w:abstractNumId w:val="8"/>
  </w:num>
  <w:num w:numId="6" w16cid:durableId="1501653970">
    <w:abstractNumId w:val="4"/>
  </w:num>
  <w:num w:numId="7" w16cid:durableId="1078016833">
    <w:abstractNumId w:val="7"/>
  </w:num>
  <w:num w:numId="8" w16cid:durableId="1761754177">
    <w:abstractNumId w:val="9"/>
  </w:num>
  <w:num w:numId="9" w16cid:durableId="1910384632">
    <w:abstractNumId w:val="1"/>
  </w:num>
  <w:num w:numId="10" w16cid:durableId="1559508129">
    <w:abstractNumId w:val="0"/>
  </w:num>
  <w:num w:numId="11" w16cid:durableId="788664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8F"/>
    <w:rsid w:val="00000DB5"/>
    <w:rsid w:val="000161C4"/>
    <w:rsid w:val="00020DDF"/>
    <w:rsid w:val="000231F2"/>
    <w:rsid w:val="00045EB3"/>
    <w:rsid w:val="00071462"/>
    <w:rsid w:val="00076082"/>
    <w:rsid w:val="000B702B"/>
    <w:rsid w:val="000C10E2"/>
    <w:rsid w:val="000F609C"/>
    <w:rsid w:val="000F784E"/>
    <w:rsid w:val="00102E51"/>
    <w:rsid w:val="001056C9"/>
    <w:rsid w:val="001125DA"/>
    <w:rsid w:val="00142865"/>
    <w:rsid w:val="0015653C"/>
    <w:rsid w:val="00162C09"/>
    <w:rsid w:val="00171EB6"/>
    <w:rsid w:val="001A24B5"/>
    <w:rsid w:val="001D5D9B"/>
    <w:rsid w:val="001E666F"/>
    <w:rsid w:val="001F59BD"/>
    <w:rsid w:val="00201772"/>
    <w:rsid w:val="00215A43"/>
    <w:rsid w:val="002175A0"/>
    <w:rsid w:val="00246044"/>
    <w:rsid w:val="00247CDC"/>
    <w:rsid w:val="002512EA"/>
    <w:rsid w:val="0026361C"/>
    <w:rsid w:val="00267FC8"/>
    <w:rsid w:val="00293BB3"/>
    <w:rsid w:val="002C6B38"/>
    <w:rsid w:val="002D244C"/>
    <w:rsid w:val="002D6B23"/>
    <w:rsid w:val="002E31DA"/>
    <w:rsid w:val="0030016D"/>
    <w:rsid w:val="00325B1B"/>
    <w:rsid w:val="003261A2"/>
    <w:rsid w:val="00344B76"/>
    <w:rsid w:val="00355EFD"/>
    <w:rsid w:val="00357844"/>
    <w:rsid w:val="00362FAA"/>
    <w:rsid w:val="00373F00"/>
    <w:rsid w:val="003A21D5"/>
    <w:rsid w:val="003C21ED"/>
    <w:rsid w:val="003C33F5"/>
    <w:rsid w:val="003D7D06"/>
    <w:rsid w:val="003E1B59"/>
    <w:rsid w:val="003E3E91"/>
    <w:rsid w:val="003E6352"/>
    <w:rsid w:val="003F69BC"/>
    <w:rsid w:val="00423089"/>
    <w:rsid w:val="0042495F"/>
    <w:rsid w:val="00442BBE"/>
    <w:rsid w:val="00447E98"/>
    <w:rsid w:val="004A211F"/>
    <w:rsid w:val="004B73EC"/>
    <w:rsid w:val="004C4331"/>
    <w:rsid w:val="004E552A"/>
    <w:rsid w:val="00501759"/>
    <w:rsid w:val="0050332F"/>
    <w:rsid w:val="00522CE1"/>
    <w:rsid w:val="005252CF"/>
    <w:rsid w:val="00542D94"/>
    <w:rsid w:val="00562A33"/>
    <w:rsid w:val="005723AF"/>
    <w:rsid w:val="00573060"/>
    <w:rsid w:val="005A23AD"/>
    <w:rsid w:val="005A5A3D"/>
    <w:rsid w:val="005C15A3"/>
    <w:rsid w:val="005E2882"/>
    <w:rsid w:val="00610DA1"/>
    <w:rsid w:val="00616C93"/>
    <w:rsid w:val="00637FF0"/>
    <w:rsid w:val="00670EDB"/>
    <w:rsid w:val="00680A91"/>
    <w:rsid w:val="006A5398"/>
    <w:rsid w:val="006C4DAD"/>
    <w:rsid w:val="007049F8"/>
    <w:rsid w:val="00714A93"/>
    <w:rsid w:val="00717F5C"/>
    <w:rsid w:val="007236D7"/>
    <w:rsid w:val="00746EB6"/>
    <w:rsid w:val="00785D71"/>
    <w:rsid w:val="00791B39"/>
    <w:rsid w:val="00791F61"/>
    <w:rsid w:val="007C4F1D"/>
    <w:rsid w:val="007E5285"/>
    <w:rsid w:val="00806383"/>
    <w:rsid w:val="00812527"/>
    <w:rsid w:val="00814517"/>
    <w:rsid w:val="0084371A"/>
    <w:rsid w:val="0085415B"/>
    <w:rsid w:val="00857D9C"/>
    <w:rsid w:val="00871BC1"/>
    <w:rsid w:val="0087280A"/>
    <w:rsid w:val="00883DF0"/>
    <w:rsid w:val="008853C5"/>
    <w:rsid w:val="008C2AC8"/>
    <w:rsid w:val="008D2566"/>
    <w:rsid w:val="008E10DB"/>
    <w:rsid w:val="008E38B9"/>
    <w:rsid w:val="008E6B4E"/>
    <w:rsid w:val="008F534B"/>
    <w:rsid w:val="009002FB"/>
    <w:rsid w:val="00906072"/>
    <w:rsid w:val="00911861"/>
    <w:rsid w:val="009437D5"/>
    <w:rsid w:val="009574A3"/>
    <w:rsid w:val="009736FF"/>
    <w:rsid w:val="00980677"/>
    <w:rsid w:val="00981D3C"/>
    <w:rsid w:val="0099799F"/>
    <w:rsid w:val="009B732B"/>
    <w:rsid w:val="009C6D24"/>
    <w:rsid w:val="009C7AF7"/>
    <w:rsid w:val="009E6B4A"/>
    <w:rsid w:val="009F6EE7"/>
    <w:rsid w:val="00A11CE1"/>
    <w:rsid w:val="00A42A6D"/>
    <w:rsid w:val="00A6796B"/>
    <w:rsid w:val="00A76EB3"/>
    <w:rsid w:val="00A85514"/>
    <w:rsid w:val="00A864FC"/>
    <w:rsid w:val="00AB0037"/>
    <w:rsid w:val="00AB3CA7"/>
    <w:rsid w:val="00AB4635"/>
    <w:rsid w:val="00AC6B83"/>
    <w:rsid w:val="00AD19A1"/>
    <w:rsid w:val="00AD4790"/>
    <w:rsid w:val="00AD49F8"/>
    <w:rsid w:val="00B204D1"/>
    <w:rsid w:val="00B41C15"/>
    <w:rsid w:val="00B4744E"/>
    <w:rsid w:val="00B50C99"/>
    <w:rsid w:val="00BE1052"/>
    <w:rsid w:val="00BE3CC0"/>
    <w:rsid w:val="00BF1A66"/>
    <w:rsid w:val="00C1227D"/>
    <w:rsid w:val="00C15DC8"/>
    <w:rsid w:val="00C1645D"/>
    <w:rsid w:val="00C35814"/>
    <w:rsid w:val="00C40975"/>
    <w:rsid w:val="00C56226"/>
    <w:rsid w:val="00C62CF0"/>
    <w:rsid w:val="00C6406B"/>
    <w:rsid w:val="00C73B6D"/>
    <w:rsid w:val="00C81AA3"/>
    <w:rsid w:val="00C8224C"/>
    <w:rsid w:val="00CA7BF4"/>
    <w:rsid w:val="00CA7D46"/>
    <w:rsid w:val="00CD7693"/>
    <w:rsid w:val="00CE2DB2"/>
    <w:rsid w:val="00CF00D1"/>
    <w:rsid w:val="00D11639"/>
    <w:rsid w:val="00D1338F"/>
    <w:rsid w:val="00D16AA9"/>
    <w:rsid w:val="00D212A5"/>
    <w:rsid w:val="00D25D74"/>
    <w:rsid w:val="00D3014B"/>
    <w:rsid w:val="00D57631"/>
    <w:rsid w:val="00D65129"/>
    <w:rsid w:val="00D93115"/>
    <w:rsid w:val="00DA6B10"/>
    <w:rsid w:val="00DB4C71"/>
    <w:rsid w:val="00DC436B"/>
    <w:rsid w:val="00DE2D8A"/>
    <w:rsid w:val="00DF1A12"/>
    <w:rsid w:val="00E01366"/>
    <w:rsid w:val="00E11D2F"/>
    <w:rsid w:val="00E2011E"/>
    <w:rsid w:val="00E5234F"/>
    <w:rsid w:val="00E57BA7"/>
    <w:rsid w:val="00E75E6B"/>
    <w:rsid w:val="00E848B3"/>
    <w:rsid w:val="00EB2441"/>
    <w:rsid w:val="00EB3601"/>
    <w:rsid w:val="00EF7A80"/>
    <w:rsid w:val="00EF7C8F"/>
    <w:rsid w:val="00F6484A"/>
    <w:rsid w:val="00F82D3D"/>
    <w:rsid w:val="00F91C12"/>
    <w:rsid w:val="00FA37E3"/>
    <w:rsid w:val="00FC13DB"/>
    <w:rsid w:val="00FC7D43"/>
    <w:rsid w:val="00FD50DB"/>
    <w:rsid w:val="00FD759C"/>
    <w:rsid w:val="00FF38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D8EA"/>
  <w15:chartTrackingRefBased/>
  <w15:docId w15:val="{8D52F518-F4EA-4E35-9480-86826AF1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E3E91"/>
    <w:pPr>
      <w:ind w:left="720"/>
      <w:contextualSpacing/>
    </w:pPr>
  </w:style>
  <w:style w:type="paragraph" w:styleId="Textonotapie">
    <w:name w:val="footnote text"/>
    <w:basedOn w:val="Normal"/>
    <w:link w:val="TextonotapieCar"/>
    <w:uiPriority w:val="99"/>
    <w:semiHidden/>
    <w:unhideWhenUsed/>
    <w:rsid w:val="00020DDF"/>
    <w:pPr>
      <w:spacing w:after="0" w:line="240" w:lineRule="auto"/>
    </w:pPr>
    <w:rPr>
      <w:rFonts w:ascii="Calibri" w:eastAsia="Calibri" w:hAnsi="Calibri" w:cs="Arial"/>
      <w:sz w:val="20"/>
      <w:szCs w:val="20"/>
      <w:lang w:val="es-ES"/>
    </w:rPr>
  </w:style>
  <w:style w:type="character" w:customStyle="1" w:styleId="TextonotapieCar">
    <w:name w:val="Texto nota pie Car"/>
    <w:basedOn w:val="Fuentedeprrafopredeter"/>
    <w:link w:val="Textonotapie"/>
    <w:uiPriority w:val="99"/>
    <w:semiHidden/>
    <w:rsid w:val="00020DDF"/>
    <w:rPr>
      <w:rFonts w:ascii="Calibri" w:eastAsia="Calibri" w:hAnsi="Calibri" w:cs="Arial"/>
      <w:sz w:val="20"/>
      <w:szCs w:val="20"/>
      <w:lang w:val="es-ES"/>
    </w:rPr>
  </w:style>
  <w:style w:type="character" w:styleId="Refdenotaalpie">
    <w:name w:val="footnote reference"/>
    <w:uiPriority w:val="99"/>
    <w:semiHidden/>
    <w:unhideWhenUsed/>
    <w:rsid w:val="00020DDF"/>
    <w:rPr>
      <w:vertAlign w:val="superscript"/>
    </w:rPr>
  </w:style>
  <w:style w:type="character" w:styleId="Hipervnculo">
    <w:name w:val="Hyperlink"/>
    <w:uiPriority w:val="99"/>
    <w:unhideWhenUsed/>
    <w:rsid w:val="00020DDF"/>
    <w:rPr>
      <w:color w:val="0563C1"/>
      <w:u w:val="single"/>
    </w:rPr>
  </w:style>
  <w:style w:type="character" w:customStyle="1" w:styleId="PrrafodelistaCar">
    <w:name w:val="Párrafo de lista Car"/>
    <w:link w:val="Prrafodelista"/>
    <w:uiPriority w:val="34"/>
    <w:locked/>
    <w:rsid w:val="009437D5"/>
  </w:style>
  <w:style w:type="paragraph" w:styleId="Revisin">
    <w:name w:val="Revision"/>
    <w:hidden/>
    <w:uiPriority w:val="99"/>
    <w:semiHidden/>
    <w:rsid w:val="006C4DAD"/>
    <w:pPr>
      <w:spacing w:after="0" w:line="240" w:lineRule="auto"/>
    </w:pPr>
  </w:style>
  <w:style w:type="paragraph" w:styleId="Textodeglobo">
    <w:name w:val="Balloon Text"/>
    <w:basedOn w:val="Normal"/>
    <w:link w:val="TextodegloboCar"/>
    <w:uiPriority w:val="99"/>
    <w:semiHidden/>
    <w:unhideWhenUsed/>
    <w:rsid w:val="00AB46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4635"/>
    <w:rPr>
      <w:rFonts w:ascii="Segoe UI" w:hAnsi="Segoe UI" w:cs="Segoe UI"/>
      <w:sz w:val="18"/>
      <w:szCs w:val="18"/>
    </w:rPr>
  </w:style>
  <w:style w:type="character" w:styleId="Refdecomentario">
    <w:name w:val="annotation reference"/>
    <w:basedOn w:val="Fuentedeprrafopredeter"/>
    <w:uiPriority w:val="99"/>
    <w:semiHidden/>
    <w:unhideWhenUsed/>
    <w:rsid w:val="00355EFD"/>
    <w:rPr>
      <w:sz w:val="16"/>
      <w:szCs w:val="16"/>
    </w:rPr>
  </w:style>
  <w:style w:type="paragraph" w:styleId="Textocomentario">
    <w:name w:val="annotation text"/>
    <w:basedOn w:val="Normal"/>
    <w:link w:val="TextocomentarioCar"/>
    <w:uiPriority w:val="99"/>
    <w:unhideWhenUsed/>
    <w:rsid w:val="00355EFD"/>
    <w:pPr>
      <w:spacing w:line="240" w:lineRule="auto"/>
    </w:pPr>
    <w:rPr>
      <w:sz w:val="20"/>
      <w:szCs w:val="20"/>
    </w:rPr>
  </w:style>
  <w:style w:type="character" w:customStyle="1" w:styleId="TextocomentarioCar">
    <w:name w:val="Texto comentario Car"/>
    <w:basedOn w:val="Fuentedeprrafopredeter"/>
    <w:link w:val="Textocomentario"/>
    <w:uiPriority w:val="99"/>
    <w:rsid w:val="00355EFD"/>
    <w:rPr>
      <w:sz w:val="20"/>
      <w:szCs w:val="20"/>
    </w:rPr>
  </w:style>
  <w:style w:type="paragraph" w:styleId="Asuntodelcomentario">
    <w:name w:val="annotation subject"/>
    <w:basedOn w:val="Textocomentario"/>
    <w:next w:val="Textocomentario"/>
    <w:link w:val="AsuntodelcomentarioCar"/>
    <w:uiPriority w:val="99"/>
    <w:semiHidden/>
    <w:unhideWhenUsed/>
    <w:rsid w:val="00355EFD"/>
    <w:rPr>
      <w:b/>
      <w:bCs/>
    </w:rPr>
  </w:style>
  <w:style w:type="character" w:customStyle="1" w:styleId="AsuntodelcomentarioCar">
    <w:name w:val="Asunto del comentario Car"/>
    <w:basedOn w:val="TextocomentarioCar"/>
    <w:link w:val="Asuntodelcomentario"/>
    <w:uiPriority w:val="99"/>
    <w:semiHidden/>
    <w:rsid w:val="00355E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A0E47-70B1-4166-89C9-1F218C75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4125</Words>
  <Characters>22689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BERNABE VELASCO ARCE  CODIGO: 083641-K</dc:creator>
  <cp:keywords/>
  <dc:description/>
  <cp:lastModifiedBy>ERNESTO FRANCISCO ARIAS VALVERDE</cp:lastModifiedBy>
  <cp:revision>17</cp:revision>
  <dcterms:created xsi:type="dcterms:W3CDTF">2023-06-15T20:09:00Z</dcterms:created>
  <dcterms:modified xsi:type="dcterms:W3CDTF">2023-06-26T16:34:00Z</dcterms:modified>
</cp:coreProperties>
</file>