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84371A" w:rsidRPr="0084371A" w14:paraId="6C0C447A" w14:textId="77777777" w:rsidTr="00501759">
        <w:trPr>
          <w:trHeight w:val="423"/>
        </w:trPr>
        <w:tc>
          <w:tcPr>
            <w:tcW w:w="1413" w:type="dxa"/>
            <w:vAlign w:val="center"/>
          </w:tcPr>
          <w:p w14:paraId="3977CE04" w14:textId="72468A0B" w:rsidR="00DE2D8A" w:rsidRPr="0084371A" w:rsidRDefault="00B4744E" w:rsidP="009F6EE7">
            <w:pPr>
              <w:rPr>
                <w:rFonts w:ascii="Arial" w:hAnsi="Arial" w:cs="Arial"/>
                <w:b/>
                <w:bCs/>
                <w:sz w:val="16"/>
                <w:szCs w:val="16"/>
              </w:rPr>
            </w:pPr>
            <w:r w:rsidRPr="0084371A">
              <w:rPr>
                <w:rFonts w:ascii="Arial" w:hAnsi="Arial" w:cs="Arial"/>
                <w:b/>
                <w:bCs/>
                <w:sz w:val="16"/>
                <w:szCs w:val="16"/>
              </w:rPr>
              <w:t xml:space="preserve">Nombre del Indicador </w:t>
            </w:r>
          </w:p>
        </w:tc>
        <w:tc>
          <w:tcPr>
            <w:tcW w:w="566" w:type="dxa"/>
            <w:shd w:val="clear" w:color="auto" w:fill="auto"/>
            <w:vAlign w:val="center"/>
          </w:tcPr>
          <w:p w14:paraId="3172FC95" w14:textId="10D1FC41" w:rsidR="00DE2D8A" w:rsidRPr="0084371A" w:rsidRDefault="0084371A" w:rsidP="00FA37E3">
            <w:pPr>
              <w:jc w:val="center"/>
              <w:rPr>
                <w:rFonts w:ascii="Arial" w:hAnsi="Arial" w:cs="Arial"/>
                <w:sz w:val="16"/>
                <w:szCs w:val="16"/>
              </w:rPr>
            </w:pPr>
            <w:r w:rsidRPr="0084371A">
              <w:rPr>
                <w:rFonts w:ascii="Arial" w:hAnsi="Arial" w:cs="Arial"/>
                <w:sz w:val="16"/>
                <w:szCs w:val="16"/>
              </w:rPr>
              <w:t>493</w:t>
            </w:r>
          </w:p>
        </w:tc>
        <w:tc>
          <w:tcPr>
            <w:tcW w:w="7514" w:type="dxa"/>
            <w:shd w:val="clear" w:color="auto" w:fill="auto"/>
            <w:vAlign w:val="center"/>
          </w:tcPr>
          <w:p w14:paraId="2350C117" w14:textId="4D7BC6EB" w:rsidR="00DE2D8A" w:rsidRPr="0084371A" w:rsidRDefault="0084371A">
            <w:pPr>
              <w:rPr>
                <w:rFonts w:ascii="Arial" w:hAnsi="Arial" w:cs="Arial"/>
                <w:sz w:val="16"/>
                <w:szCs w:val="16"/>
              </w:rPr>
            </w:pPr>
            <w:r w:rsidRPr="0084371A">
              <w:rPr>
                <w:rFonts w:ascii="Arial" w:hAnsi="Arial" w:cs="Arial"/>
                <w:sz w:val="16"/>
                <w:szCs w:val="16"/>
              </w:rPr>
              <w:t>Porcentaje de unidades productoras con el servicio de educación secundaria con capacidad instalada inadecuada</w:t>
            </w:r>
          </w:p>
        </w:tc>
      </w:tr>
      <w:tr w:rsidR="0084371A" w:rsidRPr="0084371A" w14:paraId="11A718E3" w14:textId="77777777" w:rsidTr="00501759">
        <w:trPr>
          <w:trHeight w:val="448"/>
        </w:trPr>
        <w:tc>
          <w:tcPr>
            <w:tcW w:w="1413" w:type="dxa"/>
            <w:vAlign w:val="center"/>
          </w:tcPr>
          <w:p w14:paraId="57EC8604" w14:textId="7E21759A" w:rsidR="00FA37E3" w:rsidRPr="0084371A" w:rsidRDefault="00FA37E3" w:rsidP="009F6EE7">
            <w:pPr>
              <w:rPr>
                <w:rFonts w:ascii="Arial" w:hAnsi="Arial" w:cs="Arial"/>
                <w:sz w:val="16"/>
                <w:szCs w:val="16"/>
              </w:rPr>
            </w:pPr>
            <w:r w:rsidRPr="0084371A">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84371A" w:rsidRDefault="00442BBE">
            <w:pPr>
              <w:rPr>
                <w:rFonts w:ascii="Arial" w:hAnsi="Arial" w:cs="Arial"/>
                <w:sz w:val="16"/>
                <w:szCs w:val="16"/>
              </w:rPr>
            </w:pPr>
            <w:r w:rsidRPr="0084371A">
              <w:rPr>
                <w:rFonts w:ascii="Arial" w:hAnsi="Arial" w:cs="Arial"/>
                <w:sz w:val="16"/>
                <w:szCs w:val="16"/>
              </w:rPr>
              <w:t>Calidad</w:t>
            </w:r>
          </w:p>
        </w:tc>
      </w:tr>
      <w:tr w:rsidR="0084371A" w:rsidRPr="0084371A" w14:paraId="0C106DDE" w14:textId="77777777" w:rsidTr="00501759">
        <w:trPr>
          <w:trHeight w:val="430"/>
        </w:trPr>
        <w:tc>
          <w:tcPr>
            <w:tcW w:w="1413" w:type="dxa"/>
            <w:vAlign w:val="center"/>
          </w:tcPr>
          <w:p w14:paraId="52728A04" w14:textId="6694EFAD" w:rsidR="00DE2D8A" w:rsidRPr="0084371A" w:rsidRDefault="00DE2D8A" w:rsidP="009F6EE7">
            <w:pPr>
              <w:rPr>
                <w:rFonts w:ascii="Arial" w:hAnsi="Arial" w:cs="Arial"/>
                <w:sz w:val="16"/>
                <w:szCs w:val="16"/>
              </w:rPr>
            </w:pPr>
            <w:r w:rsidRPr="0084371A">
              <w:rPr>
                <w:rFonts w:ascii="Arial" w:hAnsi="Arial" w:cs="Arial"/>
                <w:b/>
                <w:bCs/>
                <w:sz w:val="16"/>
                <w:szCs w:val="16"/>
              </w:rPr>
              <w:t>Unidad de Medida</w:t>
            </w:r>
          </w:p>
        </w:tc>
        <w:tc>
          <w:tcPr>
            <w:tcW w:w="566" w:type="dxa"/>
            <w:shd w:val="clear" w:color="auto" w:fill="auto"/>
            <w:vAlign w:val="center"/>
          </w:tcPr>
          <w:p w14:paraId="2FDA500C" w14:textId="33657A1B" w:rsidR="00DE2D8A" w:rsidRPr="0084371A" w:rsidRDefault="00E5234F" w:rsidP="00FA37E3">
            <w:pPr>
              <w:jc w:val="center"/>
              <w:rPr>
                <w:rFonts w:ascii="Arial" w:hAnsi="Arial" w:cs="Arial"/>
                <w:sz w:val="16"/>
                <w:szCs w:val="16"/>
              </w:rPr>
            </w:pPr>
            <w:r w:rsidRPr="0084371A">
              <w:rPr>
                <w:rFonts w:ascii="Arial" w:hAnsi="Arial" w:cs="Arial"/>
                <w:sz w:val="16"/>
                <w:szCs w:val="16"/>
              </w:rPr>
              <w:t>327</w:t>
            </w:r>
          </w:p>
        </w:tc>
        <w:tc>
          <w:tcPr>
            <w:tcW w:w="7514" w:type="dxa"/>
            <w:shd w:val="clear" w:color="auto" w:fill="auto"/>
            <w:vAlign w:val="center"/>
          </w:tcPr>
          <w:p w14:paraId="653DB9DE" w14:textId="75103E1D" w:rsidR="00DE2D8A" w:rsidRPr="0084371A" w:rsidRDefault="00442BBE">
            <w:pPr>
              <w:rPr>
                <w:rFonts w:ascii="Arial" w:hAnsi="Arial" w:cs="Arial"/>
                <w:sz w:val="16"/>
                <w:szCs w:val="16"/>
              </w:rPr>
            </w:pPr>
            <w:r w:rsidRPr="0084371A">
              <w:rPr>
                <w:rFonts w:ascii="Arial" w:hAnsi="Arial" w:cs="Arial"/>
                <w:sz w:val="16"/>
                <w:szCs w:val="16"/>
              </w:rPr>
              <w:t>Unidad Productora</w:t>
            </w:r>
          </w:p>
        </w:tc>
      </w:tr>
      <w:tr w:rsidR="0084371A" w:rsidRPr="0084371A" w14:paraId="35F1A4CD" w14:textId="77777777" w:rsidTr="00501759">
        <w:trPr>
          <w:trHeight w:val="430"/>
        </w:trPr>
        <w:tc>
          <w:tcPr>
            <w:tcW w:w="1413" w:type="dxa"/>
            <w:vAlign w:val="center"/>
          </w:tcPr>
          <w:p w14:paraId="3A2665BE" w14:textId="551D1317" w:rsidR="00C73B6D" w:rsidRPr="0084371A" w:rsidRDefault="00C73B6D" w:rsidP="009F6EE7">
            <w:pPr>
              <w:rPr>
                <w:rFonts w:ascii="Arial" w:hAnsi="Arial" w:cs="Arial"/>
                <w:b/>
                <w:bCs/>
                <w:sz w:val="16"/>
                <w:szCs w:val="16"/>
              </w:rPr>
            </w:pPr>
            <w:r w:rsidRPr="0084371A">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84371A" w:rsidRDefault="00E5234F">
            <w:pPr>
              <w:rPr>
                <w:rFonts w:ascii="Arial" w:hAnsi="Arial" w:cs="Arial"/>
                <w:sz w:val="16"/>
                <w:szCs w:val="16"/>
              </w:rPr>
            </w:pPr>
            <w:r w:rsidRPr="0084371A">
              <w:rPr>
                <w:rFonts w:ascii="Arial" w:hAnsi="Arial" w:cs="Arial"/>
                <w:sz w:val="16"/>
                <w:szCs w:val="16"/>
              </w:rPr>
              <w:t>Distrital</w:t>
            </w:r>
          </w:p>
        </w:tc>
      </w:tr>
    </w:tbl>
    <w:p w14:paraId="49FC6AB5" w14:textId="15D377CD" w:rsidR="00EF7C8F" w:rsidRPr="0084371A"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84371A" w:rsidRPr="0084371A"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84371A" w:rsidRDefault="00E01366" w:rsidP="00E01366">
            <w:pPr>
              <w:rPr>
                <w:rFonts w:ascii="Arial" w:hAnsi="Arial" w:cs="Arial"/>
                <w:b/>
                <w:bCs/>
              </w:rPr>
            </w:pPr>
            <w:r w:rsidRPr="0084371A">
              <w:rPr>
                <w:rFonts w:ascii="Arial" w:hAnsi="Arial" w:cs="Arial"/>
                <w:b/>
                <w:bCs/>
              </w:rPr>
              <w:t>Servicio y Tipología</w:t>
            </w:r>
          </w:p>
        </w:tc>
      </w:tr>
      <w:tr w:rsidR="0084371A" w:rsidRPr="0084371A"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84371A" w:rsidRDefault="00E01366" w:rsidP="00D760A0">
            <w:pPr>
              <w:jc w:val="center"/>
              <w:rPr>
                <w:rFonts w:ascii="Arial" w:hAnsi="Arial" w:cs="Arial"/>
                <w:b/>
                <w:bCs/>
                <w:sz w:val="16"/>
                <w:szCs w:val="16"/>
              </w:rPr>
            </w:pPr>
            <w:r w:rsidRPr="0084371A">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84371A"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84371A" w:rsidRDefault="00E01366" w:rsidP="00D760A0">
            <w:pPr>
              <w:jc w:val="center"/>
              <w:rPr>
                <w:rFonts w:ascii="Arial" w:hAnsi="Arial" w:cs="Arial"/>
                <w:b/>
                <w:bCs/>
                <w:sz w:val="16"/>
                <w:szCs w:val="16"/>
              </w:rPr>
            </w:pPr>
            <w:r w:rsidRPr="0084371A">
              <w:rPr>
                <w:rFonts w:ascii="Arial" w:hAnsi="Arial" w:cs="Arial"/>
                <w:b/>
                <w:bCs/>
                <w:sz w:val="16"/>
                <w:szCs w:val="16"/>
              </w:rPr>
              <w:t>Tipología</w:t>
            </w:r>
          </w:p>
        </w:tc>
      </w:tr>
      <w:tr w:rsidR="0084371A" w:rsidRPr="0084371A"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2FB4A" w:rsidR="00E01366" w:rsidRPr="0084371A" w:rsidRDefault="0084371A" w:rsidP="00D760A0">
            <w:pPr>
              <w:rPr>
                <w:rFonts w:ascii="Arial" w:hAnsi="Arial" w:cs="Arial"/>
                <w:sz w:val="16"/>
                <w:szCs w:val="16"/>
              </w:rPr>
            </w:pPr>
            <w:r w:rsidRPr="0084371A">
              <w:rPr>
                <w:rFonts w:ascii="Arial" w:hAnsi="Arial" w:cs="Arial"/>
                <w:sz w:val="16"/>
                <w:szCs w:val="16"/>
              </w:rPr>
              <w:t>412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57BED65F" w:rsidR="00E01366" w:rsidRPr="0084371A" w:rsidRDefault="00442BBE" w:rsidP="0084371A">
            <w:pPr>
              <w:rPr>
                <w:rFonts w:ascii="Arial" w:hAnsi="Arial" w:cs="Arial"/>
                <w:sz w:val="16"/>
                <w:szCs w:val="16"/>
              </w:rPr>
            </w:pPr>
            <w:r w:rsidRPr="0084371A">
              <w:rPr>
                <w:rFonts w:ascii="Arial" w:hAnsi="Arial" w:cs="Arial"/>
                <w:sz w:val="16"/>
                <w:szCs w:val="16"/>
              </w:rPr>
              <w:t xml:space="preserve">Servicio de Educación </w:t>
            </w:r>
            <w:r w:rsidR="0084371A" w:rsidRPr="0084371A">
              <w:rPr>
                <w:rFonts w:ascii="Arial" w:hAnsi="Arial" w:cs="Arial"/>
                <w:sz w:val="16"/>
                <w:szCs w:val="16"/>
              </w:rPr>
              <w:t>Secundaria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84371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5DCE0CFE" w:rsidR="00E01366" w:rsidRPr="0084371A" w:rsidRDefault="0084371A" w:rsidP="00D760A0">
            <w:pPr>
              <w:rPr>
                <w:rFonts w:ascii="Arial" w:hAnsi="Arial" w:cs="Arial"/>
                <w:sz w:val="16"/>
                <w:szCs w:val="16"/>
              </w:rPr>
            </w:pPr>
            <w:r w:rsidRPr="0084371A">
              <w:rPr>
                <w:rFonts w:ascii="Arial" w:hAnsi="Arial" w:cs="Arial"/>
                <w:sz w:val="16"/>
                <w:szCs w:val="16"/>
              </w:rPr>
              <w:t>370</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06B0894E" w:rsidR="00E01366" w:rsidRPr="0084371A" w:rsidRDefault="00442BBE" w:rsidP="0084371A">
            <w:pPr>
              <w:rPr>
                <w:rFonts w:ascii="Arial" w:hAnsi="Arial" w:cs="Arial"/>
                <w:sz w:val="16"/>
                <w:szCs w:val="16"/>
              </w:rPr>
            </w:pPr>
            <w:r w:rsidRPr="0084371A">
              <w:rPr>
                <w:rFonts w:ascii="Arial" w:hAnsi="Arial" w:cs="Arial"/>
                <w:sz w:val="16"/>
                <w:szCs w:val="16"/>
              </w:rPr>
              <w:t xml:space="preserve">Educación </w:t>
            </w:r>
            <w:r w:rsidR="0084371A" w:rsidRPr="0084371A">
              <w:rPr>
                <w:rFonts w:ascii="Arial" w:hAnsi="Arial" w:cs="Arial"/>
                <w:sz w:val="16"/>
                <w:szCs w:val="16"/>
              </w:rPr>
              <w:t>Secundaria</w:t>
            </w:r>
          </w:p>
        </w:tc>
      </w:tr>
      <w:tr w:rsidR="0084371A" w:rsidRPr="0084371A"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84371A"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84371A"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84371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84371A"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84371A" w:rsidRDefault="00E01366" w:rsidP="00D760A0">
            <w:pPr>
              <w:rPr>
                <w:rFonts w:ascii="Arial" w:hAnsi="Arial" w:cs="Arial"/>
                <w:sz w:val="16"/>
                <w:szCs w:val="16"/>
              </w:rPr>
            </w:pPr>
          </w:p>
        </w:tc>
      </w:tr>
      <w:tr w:rsidR="00E01366" w:rsidRPr="0084371A"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84371A"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84371A"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84371A"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84371A" w:rsidRDefault="00E01366" w:rsidP="00D760A0">
            <w:pPr>
              <w:rPr>
                <w:rFonts w:ascii="Arial" w:hAnsi="Arial" w:cs="Arial"/>
                <w:sz w:val="16"/>
                <w:szCs w:val="16"/>
              </w:rPr>
            </w:pPr>
            <w:r w:rsidRPr="0084371A">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84371A" w:rsidRDefault="00E01366" w:rsidP="00D760A0">
            <w:pPr>
              <w:rPr>
                <w:rFonts w:ascii="Arial" w:hAnsi="Arial" w:cs="Arial"/>
                <w:sz w:val="16"/>
                <w:szCs w:val="16"/>
              </w:rPr>
            </w:pPr>
          </w:p>
        </w:tc>
      </w:tr>
    </w:tbl>
    <w:p w14:paraId="648C5075" w14:textId="0786E3B6" w:rsidR="00E01366" w:rsidRPr="0084371A"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84371A" w:rsidRPr="0084371A"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84371A" w:rsidRDefault="00E01366" w:rsidP="00D760A0">
            <w:pPr>
              <w:rPr>
                <w:rFonts w:ascii="Arial" w:hAnsi="Arial" w:cs="Arial"/>
                <w:b/>
                <w:bCs/>
                <w:szCs w:val="20"/>
              </w:rPr>
            </w:pPr>
            <w:r w:rsidRPr="0084371A">
              <w:rPr>
                <w:rFonts w:ascii="Arial" w:hAnsi="Arial" w:cs="Arial"/>
                <w:b/>
                <w:bCs/>
                <w:szCs w:val="20"/>
              </w:rPr>
              <w:t>Competencia del Servicio</w:t>
            </w:r>
          </w:p>
        </w:tc>
      </w:tr>
      <w:tr w:rsidR="0084371A" w:rsidRPr="0084371A"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84371A" w:rsidRDefault="00E01366" w:rsidP="00D760A0">
            <w:pPr>
              <w:jc w:val="center"/>
              <w:rPr>
                <w:rFonts w:ascii="Arial" w:hAnsi="Arial" w:cs="Arial"/>
                <w:b/>
                <w:bCs/>
                <w:sz w:val="16"/>
                <w:szCs w:val="18"/>
              </w:rPr>
            </w:pPr>
            <w:r w:rsidRPr="0084371A">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84371A" w:rsidRDefault="00E01366" w:rsidP="00D760A0">
            <w:pPr>
              <w:jc w:val="center"/>
              <w:rPr>
                <w:rFonts w:ascii="Arial" w:hAnsi="Arial" w:cs="Arial"/>
                <w:b/>
                <w:bCs/>
                <w:sz w:val="16"/>
                <w:szCs w:val="18"/>
              </w:rPr>
            </w:pPr>
            <w:r w:rsidRPr="0084371A">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84371A" w:rsidRDefault="00E01366" w:rsidP="00D760A0">
            <w:pPr>
              <w:jc w:val="center"/>
              <w:rPr>
                <w:rFonts w:ascii="Arial" w:hAnsi="Arial" w:cs="Arial"/>
                <w:b/>
                <w:bCs/>
                <w:sz w:val="16"/>
                <w:szCs w:val="18"/>
              </w:rPr>
            </w:pPr>
            <w:r w:rsidRPr="0084371A">
              <w:rPr>
                <w:rFonts w:ascii="Arial" w:hAnsi="Arial" w:cs="Arial"/>
                <w:b/>
                <w:bCs/>
                <w:sz w:val="16"/>
                <w:szCs w:val="18"/>
              </w:rPr>
              <w:t>Gobierno Local</w:t>
            </w:r>
          </w:p>
          <w:p w14:paraId="4FCF7C93" w14:textId="77777777" w:rsidR="00E01366" w:rsidRPr="0084371A" w:rsidRDefault="00E01366" w:rsidP="00D760A0">
            <w:pPr>
              <w:jc w:val="center"/>
              <w:rPr>
                <w:rFonts w:ascii="Arial" w:hAnsi="Arial" w:cs="Arial"/>
                <w:b/>
                <w:bCs/>
                <w:sz w:val="16"/>
                <w:szCs w:val="18"/>
              </w:rPr>
            </w:pPr>
            <w:proofErr w:type="spellStart"/>
            <w:r w:rsidRPr="0084371A">
              <w:rPr>
                <w:rFonts w:ascii="Arial" w:hAnsi="Arial" w:cs="Arial"/>
                <w:b/>
                <w:bCs/>
                <w:sz w:val="16"/>
                <w:szCs w:val="18"/>
              </w:rPr>
              <w:t>Municip</w:t>
            </w:r>
            <w:proofErr w:type="spellEnd"/>
            <w:r w:rsidRPr="0084371A">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84371A" w:rsidRDefault="00E01366" w:rsidP="00D760A0">
            <w:pPr>
              <w:jc w:val="center"/>
              <w:rPr>
                <w:rFonts w:ascii="Arial" w:hAnsi="Arial" w:cs="Arial"/>
                <w:b/>
                <w:bCs/>
                <w:sz w:val="16"/>
                <w:szCs w:val="18"/>
              </w:rPr>
            </w:pPr>
            <w:r w:rsidRPr="0084371A">
              <w:rPr>
                <w:rFonts w:ascii="Arial" w:hAnsi="Arial" w:cs="Arial"/>
                <w:b/>
                <w:bCs/>
                <w:sz w:val="16"/>
                <w:szCs w:val="18"/>
              </w:rPr>
              <w:t>Gobierno Local</w:t>
            </w:r>
          </w:p>
          <w:p w14:paraId="01206F40" w14:textId="77777777" w:rsidR="00E01366" w:rsidRPr="0084371A" w:rsidRDefault="00E01366" w:rsidP="00D760A0">
            <w:pPr>
              <w:jc w:val="center"/>
              <w:rPr>
                <w:rFonts w:ascii="Arial" w:hAnsi="Arial" w:cs="Arial"/>
                <w:b/>
                <w:bCs/>
                <w:sz w:val="16"/>
                <w:szCs w:val="18"/>
              </w:rPr>
            </w:pPr>
            <w:proofErr w:type="spellStart"/>
            <w:r w:rsidRPr="0084371A">
              <w:rPr>
                <w:rFonts w:ascii="Arial" w:hAnsi="Arial" w:cs="Arial"/>
                <w:b/>
                <w:bCs/>
                <w:sz w:val="16"/>
                <w:szCs w:val="18"/>
              </w:rPr>
              <w:t>Municip</w:t>
            </w:r>
            <w:proofErr w:type="spellEnd"/>
            <w:r w:rsidRPr="0084371A">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84371A" w:rsidRDefault="00E01366" w:rsidP="00D760A0">
            <w:pPr>
              <w:jc w:val="center"/>
              <w:rPr>
                <w:rFonts w:ascii="Arial" w:hAnsi="Arial" w:cs="Arial"/>
                <w:b/>
                <w:bCs/>
                <w:sz w:val="16"/>
                <w:szCs w:val="18"/>
              </w:rPr>
            </w:pPr>
            <w:r w:rsidRPr="0084371A">
              <w:rPr>
                <w:rFonts w:ascii="Arial" w:hAnsi="Arial" w:cs="Arial"/>
                <w:b/>
                <w:bCs/>
                <w:sz w:val="16"/>
                <w:szCs w:val="18"/>
              </w:rPr>
              <w:t>Empresa</w:t>
            </w:r>
          </w:p>
        </w:tc>
      </w:tr>
      <w:tr w:rsidR="0084371A" w:rsidRPr="0084371A" w14:paraId="07F29AB9" w14:textId="77777777" w:rsidTr="00501759">
        <w:trPr>
          <w:trHeight w:val="84"/>
        </w:trPr>
        <w:tc>
          <w:tcPr>
            <w:tcW w:w="750" w:type="dxa"/>
            <w:tcBorders>
              <w:left w:val="single" w:sz="4" w:space="0" w:color="auto"/>
            </w:tcBorders>
            <w:vAlign w:val="center"/>
          </w:tcPr>
          <w:p w14:paraId="223AAEC1" w14:textId="77777777" w:rsidR="00E01366" w:rsidRPr="0084371A"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84371A" w:rsidRDefault="00E01366" w:rsidP="00D760A0">
            <w:pPr>
              <w:rPr>
                <w:rFonts w:ascii="Arial" w:hAnsi="Arial" w:cs="Arial"/>
                <w:sz w:val="16"/>
                <w:szCs w:val="16"/>
              </w:rPr>
            </w:pPr>
          </w:p>
        </w:tc>
        <w:tc>
          <w:tcPr>
            <w:tcW w:w="650" w:type="dxa"/>
            <w:vAlign w:val="center"/>
          </w:tcPr>
          <w:p w14:paraId="2F8C63AE" w14:textId="77777777" w:rsidR="00E01366" w:rsidRPr="0084371A" w:rsidRDefault="00E01366" w:rsidP="00D760A0">
            <w:pPr>
              <w:rPr>
                <w:rFonts w:ascii="Arial" w:hAnsi="Arial" w:cs="Arial"/>
                <w:sz w:val="16"/>
                <w:szCs w:val="18"/>
              </w:rPr>
            </w:pPr>
          </w:p>
        </w:tc>
        <w:tc>
          <w:tcPr>
            <w:tcW w:w="681" w:type="dxa"/>
            <w:vAlign w:val="center"/>
          </w:tcPr>
          <w:p w14:paraId="37D8C6FB" w14:textId="77777777" w:rsidR="00E01366" w:rsidRPr="0084371A"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84371A" w:rsidRDefault="00E01366" w:rsidP="00D760A0">
            <w:pPr>
              <w:rPr>
                <w:rFonts w:ascii="Arial" w:hAnsi="Arial" w:cs="Arial"/>
                <w:sz w:val="16"/>
                <w:szCs w:val="18"/>
              </w:rPr>
            </w:pPr>
          </w:p>
        </w:tc>
        <w:tc>
          <w:tcPr>
            <w:tcW w:w="709" w:type="dxa"/>
            <w:vAlign w:val="center"/>
          </w:tcPr>
          <w:p w14:paraId="1377B682" w14:textId="77777777" w:rsidR="00E01366" w:rsidRPr="0084371A" w:rsidRDefault="00E01366" w:rsidP="00D760A0">
            <w:pPr>
              <w:rPr>
                <w:rFonts w:ascii="Arial" w:hAnsi="Arial" w:cs="Arial"/>
                <w:sz w:val="16"/>
                <w:szCs w:val="18"/>
              </w:rPr>
            </w:pPr>
          </w:p>
        </w:tc>
        <w:tc>
          <w:tcPr>
            <w:tcW w:w="624" w:type="dxa"/>
            <w:vAlign w:val="center"/>
          </w:tcPr>
          <w:p w14:paraId="72A1492E" w14:textId="77777777" w:rsidR="00E01366" w:rsidRPr="0084371A"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84371A" w:rsidRDefault="00E01366" w:rsidP="00D760A0">
            <w:pPr>
              <w:rPr>
                <w:rFonts w:ascii="Arial" w:hAnsi="Arial" w:cs="Arial"/>
                <w:sz w:val="16"/>
                <w:szCs w:val="18"/>
              </w:rPr>
            </w:pPr>
          </w:p>
        </w:tc>
        <w:tc>
          <w:tcPr>
            <w:tcW w:w="603" w:type="dxa"/>
            <w:vAlign w:val="center"/>
          </w:tcPr>
          <w:p w14:paraId="6B79396A" w14:textId="77777777" w:rsidR="00E01366" w:rsidRPr="0084371A" w:rsidRDefault="00E01366" w:rsidP="00D760A0">
            <w:pPr>
              <w:rPr>
                <w:rFonts w:ascii="Arial" w:hAnsi="Arial" w:cs="Arial"/>
                <w:sz w:val="16"/>
                <w:szCs w:val="18"/>
              </w:rPr>
            </w:pPr>
          </w:p>
        </w:tc>
        <w:tc>
          <w:tcPr>
            <w:tcW w:w="595" w:type="dxa"/>
            <w:vAlign w:val="center"/>
          </w:tcPr>
          <w:p w14:paraId="249C8175" w14:textId="77777777" w:rsidR="00E01366" w:rsidRPr="0084371A"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84371A" w:rsidRDefault="00E01366" w:rsidP="00D760A0">
            <w:pPr>
              <w:rPr>
                <w:rFonts w:ascii="Arial" w:hAnsi="Arial" w:cs="Arial"/>
                <w:sz w:val="16"/>
                <w:szCs w:val="18"/>
              </w:rPr>
            </w:pPr>
          </w:p>
        </w:tc>
        <w:tc>
          <w:tcPr>
            <w:tcW w:w="593" w:type="dxa"/>
            <w:vAlign w:val="center"/>
          </w:tcPr>
          <w:p w14:paraId="7FE7EEFC" w14:textId="77777777" w:rsidR="00E01366" w:rsidRPr="0084371A" w:rsidRDefault="00E01366" w:rsidP="00D760A0">
            <w:pPr>
              <w:rPr>
                <w:rFonts w:ascii="Arial" w:hAnsi="Arial" w:cs="Arial"/>
                <w:sz w:val="16"/>
                <w:szCs w:val="18"/>
              </w:rPr>
            </w:pPr>
          </w:p>
        </w:tc>
        <w:tc>
          <w:tcPr>
            <w:tcW w:w="592" w:type="dxa"/>
            <w:vAlign w:val="center"/>
          </w:tcPr>
          <w:p w14:paraId="7FC829B6" w14:textId="77777777" w:rsidR="00E01366" w:rsidRPr="0084371A"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84371A"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84371A" w:rsidRDefault="00E01366" w:rsidP="00D760A0">
            <w:pPr>
              <w:rPr>
                <w:rFonts w:ascii="Arial" w:hAnsi="Arial" w:cs="Arial"/>
                <w:sz w:val="16"/>
                <w:szCs w:val="18"/>
              </w:rPr>
            </w:pPr>
          </w:p>
        </w:tc>
      </w:tr>
      <w:tr w:rsidR="0084371A" w:rsidRPr="0084371A"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84371A"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84371A" w:rsidRDefault="00871BC1" w:rsidP="00D760A0">
            <w:pPr>
              <w:jc w:val="center"/>
              <w:rPr>
                <w:rFonts w:ascii="Arial" w:hAnsi="Arial" w:cs="Arial"/>
                <w:sz w:val="18"/>
                <w:szCs w:val="16"/>
              </w:rPr>
            </w:pPr>
            <w:r w:rsidRPr="0084371A">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84371A"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84371A"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84371A" w:rsidRDefault="00871BC1" w:rsidP="00D760A0">
            <w:pPr>
              <w:jc w:val="center"/>
              <w:rPr>
                <w:rFonts w:ascii="Arial" w:hAnsi="Arial" w:cs="Arial"/>
                <w:sz w:val="18"/>
                <w:szCs w:val="18"/>
              </w:rPr>
            </w:pPr>
            <w:r w:rsidRPr="0084371A">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84371A"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84371A"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E4DAA14" w:rsidR="00E01366" w:rsidRPr="0084371A" w:rsidRDefault="00871BC1" w:rsidP="00D760A0">
            <w:pPr>
              <w:jc w:val="center"/>
              <w:rPr>
                <w:rFonts w:ascii="Arial" w:hAnsi="Arial" w:cs="Arial"/>
                <w:sz w:val="18"/>
                <w:szCs w:val="18"/>
              </w:rPr>
            </w:pPr>
            <w:r w:rsidRPr="0084371A">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84371A"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84371A"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50405B18" w:rsidR="00E01366" w:rsidRPr="0084371A" w:rsidRDefault="00871BC1" w:rsidP="00D760A0">
            <w:pPr>
              <w:jc w:val="center"/>
              <w:rPr>
                <w:rFonts w:ascii="Arial" w:hAnsi="Arial" w:cs="Arial"/>
                <w:sz w:val="18"/>
                <w:szCs w:val="18"/>
              </w:rPr>
            </w:pPr>
            <w:r w:rsidRPr="0084371A">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84371A"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84371A"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84371A" w:rsidRDefault="00871BC1" w:rsidP="00D760A0">
            <w:pPr>
              <w:jc w:val="center"/>
              <w:rPr>
                <w:rFonts w:ascii="Arial" w:hAnsi="Arial" w:cs="Arial"/>
                <w:sz w:val="18"/>
                <w:szCs w:val="18"/>
              </w:rPr>
            </w:pPr>
            <w:r w:rsidRPr="0084371A">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84371A" w:rsidRDefault="00E01366" w:rsidP="00D760A0">
            <w:pPr>
              <w:jc w:val="center"/>
              <w:rPr>
                <w:rFonts w:ascii="Arial" w:hAnsi="Arial" w:cs="Arial"/>
                <w:sz w:val="18"/>
                <w:szCs w:val="18"/>
              </w:rPr>
            </w:pPr>
          </w:p>
        </w:tc>
      </w:tr>
      <w:tr w:rsidR="0084371A" w:rsidRPr="0084371A"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84371A"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84371A"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84371A"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84371A"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84371A"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84371A"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84371A"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84371A"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84371A"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84371A"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84371A"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84371A"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84371A"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84371A"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84371A" w:rsidRDefault="00E01366" w:rsidP="00D760A0">
            <w:pPr>
              <w:jc w:val="center"/>
              <w:rPr>
                <w:rFonts w:ascii="Arial" w:hAnsi="Arial" w:cs="Arial"/>
                <w:sz w:val="16"/>
                <w:szCs w:val="18"/>
              </w:rPr>
            </w:pPr>
          </w:p>
        </w:tc>
      </w:tr>
    </w:tbl>
    <w:p w14:paraId="56272EEF" w14:textId="77777777" w:rsidR="00E01366" w:rsidRPr="009E6B4A"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D65129" w:rsidRPr="00D65129"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D65129" w:rsidRDefault="002C6B38">
            <w:pPr>
              <w:rPr>
                <w:rFonts w:ascii="Arial" w:hAnsi="Arial" w:cs="Arial"/>
                <w:b/>
                <w:szCs w:val="20"/>
              </w:rPr>
            </w:pPr>
            <w:bookmarkStart w:id="1" w:name="_Hlk60147480"/>
            <w:r w:rsidRPr="00D65129">
              <w:rPr>
                <w:rFonts w:ascii="Arial" w:hAnsi="Arial" w:cs="Arial"/>
                <w:b/>
                <w:bCs/>
                <w:szCs w:val="20"/>
              </w:rPr>
              <w:t>Definición</w:t>
            </w:r>
          </w:p>
        </w:tc>
      </w:tr>
      <w:tr w:rsidR="009E6B4A" w:rsidRPr="009E6B4A"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9E6B4A" w:rsidRDefault="002C6B38">
            <w:pPr>
              <w:rPr>
                <w:rFonts w:ascii="Arial" w:hAnsi="Arial" w:cs="Arial"/>
                <w:b/>
                <w:color w:val="FF0000"/>
                <w:szCs w:val="20"/>
              </w:rPr>
            </w:pPr>
          </w:p>
          <w:p w14:paraId="29FDB2BB" w14:textId="77777777" w:rsidR="00D65129" w:rsidRPr="00E35A37" w:rsidRDefault="00D65129" w:rsidP="00D65129">
            <w:pPr>
              <w:spacing w:before="240" w:after="120"/>
              <w:contextualSpacing/>
              <w:jc w:val="both"/>
              <w:rPr>
                <w:rFonts w:ascii="Arial" w:hAnsi="Arial"/>
                <w:sz w:val="20"/>
                <w:szCs w:val="20"/>
              </w:rPr>
            </w:pPr>
            <w:r w:rsidRPr="00E35A37">
              <w:rPr>
                <w:rFonts w:ascii="Arial" w:hAnsi="Arial"/>
                <w:sz w:val="20"/>
                <w:szCs w:val="20"/>
              </w:rPr>
              <w:t xml:space="preserve">El indicador representa </w:t>
            </w:r>
            <w:r w:rsidRPr="000129E0">
              <w:rPr>
                <w:rFonts w:ascii="Arial" w:hAnsi="Arial"/>
                <w:sz w:val="20"/>
                <w:szCs w:val="20"/>
              </w:rPr>
              <w:t xml:space="preserve">la brecha de calidad </w:t>
            </w:r>
            <w:r>
              <w:rPr>
                <w:rFonts w:ascii="Arial" w:hAnsi="Arial"/>
                <w:sz w:val="20"/>
                <w:szCs w:val="20"/>
              </w:rPr>
              <w:t>de</w:t>
            </w:r>
            <w:r w:rsidRPr="000129E0">
              <w:rPr>
                <w:rFonts w:ascii="Arial" w:hAnsi="Arial"/>
                <w:sz w:val="20"/>
                <w:szCs w:val="20"/>
              </w:rPr>
              <w:t xml:space="preserve"> la infraestructura de las </w:t>
            </w:r>
            <w:r>
              <w:rPr>
                <w:rFonts w:ascii="Arial" w:hAnsi="Arial"/>
                <w:sz w:val="20"/>
                <w:szCs w:val="20"/>
              </w:rPr>
              <w:t xml:space="preserve">unidades productoras (UP) que brindan el servicio de educación </w:t>
            </w:r>
            <w:r w:rsidRPr="000129E0">
              <w:rPr>
                <w:rFonts w:ascii="Arial" w:hAnsi="Arial"/>
                <w:sz w:val="20"/>
                <w:szCs w:val="20"/>
              </w:rPr>
              <w:t>secundari</w:t>
            </w:r>
            <w:r>
              <w:rPr>
                <w:rFonts w:ascii="Arial" w:hAnsi="Arial"/>
                <w:sz w:val="20"/>
                <w:szCs w:val="20"/>
              </w:rPr>
              <w:t>a</w:t>
            </w:r>
            <w:r w:rsidRPr="000129E0">
              <w:rPr>
                <w:rFonts w:ascii="Arial" w:hAnsi="Arial"/>
                <w:sz w:val="20"/>
                <w:szCs w:val="20"/>
              </w:rPr>
              <w:t>. En ese sentido</w:t>
            </w:r>
            <w:r w:rsidRPr="00E35A37">
              <w:rPr>
                <w:rFonts w:ascii="Arial" w:hAnsi="Arial"/>
                <w:sz w:val="20"/>
                <w:szCs w:val="20"/>
              </w:rPr>
              <w:t xml:space="preserve">, </w:t>
            </w:r>
            <w:r>
              <w:rPr>
                <w:rFonts w:ascii="Arial" w:hAnsi="Arial"/>
                <w:sz w:val="20"/>
                <w:szCs w:val="20"/>
              </w:rPr>
              <w:t xml:space="preserve">la UP </w:t>
            </w:r>
            <w:r w:rsidRPr="00052C05">
              <w:rPr>
                <w:rFonts w:ascii="Arial" w:hAnsi="Arial"/>
                <w:sz w:val="20"/>
                <w:szCs w:val="20"/>
              </w:rPr>
              <w:t xml:space="preserve">es el conjunto de recursos o factores productivos (infraestructura, equipos, </w:t>
            </w:r>
            <w:r w:rsidRPr="0039057B">
              <w:rPr>
                <w:rFonts w:ascii="Arial" w:hAnsi="Arial"/>
                <w:sz w:val="20"/>
                <w:szCs w:val="20"/>
              </w:rPr>
              <w:t>personal, organización, capacidad de gestión entre otros) que, articulados entre sí, tienen la capacidad de proveer bienes o servicios a la población objetivo</w:t>
            </w:r>
            <w:r>
              <w:rPr>
                <w:rStyle w:val="Refdenotaalpie"/>
                <w:rFonts w:ascii="Arial" w:hAnsi="Arial"/>
                <w:sz w:val="20"/>
                <w:szCs w:val="20"/>
              </w:rPr>
              <w:footnoteReference w:id="1"/>
            </w:r>
            <w:r w:rsidRPr="0039057B">
              <w:rPr>
                <w:rFonts w:ascii="Arial" w:hAnsi="Arial"/>
                <w:sz w:val="20"/>
                <w:szCs w:val="20"/>
              </w:rPr>
              <w:t xml:space="preserve">. </w:t>
            </w:r>
            <w:r w:rsidRPr="00993ABF">
              <w:rPr>
                <w:rFonts w:ascii="Arial" w:hAnsi="Arial"/>
                <w:sz w:val="20"/>
                <w:szCs w:val="20"/>
              </w:rPr>
              <w:t>La estructura de una UP corresponde a una agregación de activos respecto a los servicios que esta brinda y a los procesos de producción correspondientes</w:t>
            </w:r>
            <w:r w:rsidRPr="00E35A37">
              <w:rPr>
                <w:rFonts w:ascii="Arial" w:hAnsi="Arial"/>
                <w:sz w:val="20"/>
                <w:szCs w:val="20"/>
              </w:rPr>
              <w:t>.</w:t>
            </w:r>
            <w:r>
              <w:rPr>
                <w:rFonts w:ascii="Arial" w:hAnsi="Arial"/>
                <w:sz w:val="20"/>
                <w:szCs w:val="20"/>
              </w:rPr>
              <w:t xml:space="preserve"> Las unidades productoras asociadas al presente servicio se encuentran identificadas mediante el código modular, mientras que su ubicación puede ser determinada a través del local educativo</w:t>
            </w:r>
            <w:r w:rsidRPr="00993ABF">
              <w:rPr>
                <w:vertAlign w:val="superscript"/>
              </w:rPr>
              <w:footnoteReference w:id="2"/>
            </w:r>
            <w:r>
              <w:rPr>
                <w:rFonts w:ascii="Arial" w:hAnsi="Arial"/>
                <w:sz w:val="20"/>
                <w:szCs w:val="20"/>
              </w:rPr>
              <w:t>, el cual se identifica mediante el código de local educativo.</w:t>
            </w:r>
          </w:p>
          <w:p w14:paraId="04BE879B" w14:textId="77777777" w:rsidR="00D65129" w:rsidRPr="000129E0" w:rsidRDefault="00D65129" w:rsidP="00D65129">
            <w:pPr>
              <w:spacing w:before="240" w:after="120"/>
              <w:contextualSpacing/>
              <w:jc w:val="both"/>
              <w:rPr>
                <w:rFonts w:ascii="Arial" w:hAnsi="Arial"/>
                <w:sz w:val="20"/>
                <w:szCs w:val="20"/>
              </w:rPr>
            </w:pPr>
          </w:p>
          <w:p w14:paraId="1C64E65B" w14:textId="77777777" w:rsidR="00D65129" w:rsidRPr="000129E0" w:rsidRDefault="00D65129" w:rsidP="00D65129">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Pr>
                <w:rStyle w:val="Refdenotaalpie"/>
                <w:rFonts w:ascii="Arial" w:hAnsi="Arial"/>
                <w:sz w:val="20"/>
                <w:szCs w:val="20"/>
              </w:rPr>
              <w:footnoteReference w:id="3"/>
            </w:r>
            <w:r w:rsidRPr="0045614C">
              <w:rPr>
                <w:rFonts w:ascii="Arial" w:hAnsi="Arial"/>
                <w:sz w:val="20"/>
                <w:szCs w:val="20"/>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0129E0">
              <w:rPr>
                <w:rFonts w:ascii="Arial" w:hAnsi="Arial"/>
                <w:sz w:val="20"/>
                <w:szCs w:val="20"/>
              </w:rPr>
              <w:t xml:space="preserve">. Se considera que </w:t>
            </w:r>
            <w:r>
              <w:rPr>
                <w:rFonts w:ascii="Arial" w:hAnsi="Arial"/>
                <w:sz w:val="20"/>
                <w:szCs w:val="20"/>
              </w:rPr>
              <w:t>la UP</w:t>
            </w:r>
            <w:r w:rsidRPr="000129E0">
              <w:rPr>
                <w:rFonts w:ascii="Arial" w:hAnsi="Arial"/>
                <w:sz w:val="20"/>
                <w:szCs w:val="20"/>
              </w:rPr>
              <w:t xml:space="preserve"> tiene capacidad instalada inadecuada </w:t>
            </w:r>
            <w:r w:rsidRPr="00E35A37">
              <w:rPr>
                <w:rFonts w:ascii="Arial" w:hAnsi="Arial"/>
                <w:sz w:val="20"/>
                <w:szCs w:val="20"/>
              </w:rPr>
              <w:t xml:space="preserve">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0129E0">
              <w:rPr>
                <w:rFonts w:ascii="Arial" w:hAnsi="Arial"/>
                <w:sz w:val="20"/>
                <w:szCs w:val="20"/>
              </w:rPr>
              <w:t>.</w:t>
            </w:r>
          </w:p>
          <w:p w14:paraId="65E5E881" w14:textId="77777777" w:rsidR="00D65129" w:rsidRPr="000129E0" w:rsidRDefault="00D65129" w:rsidP="00D65129">
            <w:pPr>
              <w:spacing w:before="240" w:after="120"/>
              <w:contextualSpacing/>
              <w:jc w:val="both"/>
              <w:rPr>
                <w:rFonts w:ascii="Arial" w:hAnsi="Arial"/>
                <w:sz w:val="20"/>
                <w:szCs w:val="20"/>
              </w:rPr>
            </w:pPr>
          </w:p>
          <w:p w14:paraId="40158696" w14:textId="77777777" w:rsidR="00D65129" w:rsidRDefault="00D65129" w:rsidP="00D65129">
            <w:pPr>
              <w:jc w:val="both"/>
              <w:rPr>
                <w:rFonts w:ascii="Arial" w:hAnsi="Arial"/>
                <w:sz w:val="20"/>
                <w:szCs w:val="20"/>
              </w:rPr>
            </w:pPr>
            <w:r w:rsidRPr="000129E0">
              <w:rPr>
                <w:rFonts w:ascii="Arial" w:hAnsi="Arial"/>
                <w:sz w:val="20"/>
                <w:szCs w:val="20"/>
              </w:rPr>
              <w:t>La Educación Secundaria constituye el tercer nivel de la Educación Básica Regular y atiende a los adolescentes que hayan aprobado el sex</w:t>
            </w:r>
            <w:r>
              <w:rPr>
                <w:rFonts w:ascii="Arial" w:hAnsi="Arial"/>
                <w:sz w:val="20"/>
                <w:szCs w:val="20"/>
              </w:rPr>
              <w:t>to grado de Educación Primaria</w:t>
            </w:r>
            <w:r w:rsidRPr="000129E0">
              <w:rPr>
                <w:rFonts w:ascii="Arial" w:hAnsi="Arial"/>
                <w:sz w:val="20"/>
                <w:szCs w:val="20"/>
              </w:rPr>
              <w:t>. Son objetivos de la Educación Secundaria:</w:t>
            </w:r>
          </w:p>
          <w:p w14:paraId="14D90DA6" w14:textId="77777777" w:rsidR="00D65129" w:rsidRPr="000129E0" w:rsidRDefault="00D65129" w:rsidP="00D65129">
            <w:pPr>
              <w:jc w:val="both"/>
              <w:rPr>
                <w:rFonts w:ascii="Arial" w:hAnsi="Arial"/>
                <w:sz w:val="20"/>
                <w:szCs w:val="20"/>
              </w:rPr>
            </w:pPr>
          </w:p>
          <w:p w14:paraId="65ED5505"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Brindar a los adolescentes una formación humanística, científica y tecnológica, así como capacitación para el trabajo.</w:t>
            </w:r>
          </w:p>
          <w:p w14:paraId="5CE3981A"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lastRenderedPageBreak/>
              <w:t>Afianzar la identidad personal y social del estudiante.</w:t>
            </w:r>
          </w:p>
          <w:p w14:paraId="224EFDE1"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Brindar una formación integral que permita a los estudiantes adolescentes un desarrollo corporal, afectivo y cognitivo; el conocimiento de sí mismos y de su entorno, así como la comprensión de sus cambios físicos e identidad de género y la valoración de sí mismos como personas, respetando a los demás, participando y comprometiéndose con su entorno social.</w:t>
            </w:r>
          </w:p>
          <w:p w14:paraId="4B6E71CF"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Promover en los estudiantes el fortalecimiento de las competencias y capacidades del currículo de Educación Secundaria y la apropiación de nuevas tecnologías que les permitan la construcción del conocimiento, la creatividad, pensamiento cítrico, así como la aplicación de estrategias de aprendizaje, la formulación de proyectos y la toma de decisiones.</w:t>
            </w:r>
          </w:p>
          <w:p w14:paraId="67110091"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Brindar las orientaciones que permitan a los estudiantes iniciar la formulación de un proyecto de vida que, sustentado en valores éticos y sociales, les facilite la toma de decisiones vocacionales y profesionales.</w:t>
            </w:r>
          </w:p>
          <w:p w14:paraId="124FA9DF"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Propiciar valores y actitudes que permitan la convivencia en los grupos sociales a los que pertenecen y con su entorno natural y creado, así como interactuar solidaria y responsablemente con afán de realizaciones y con respeto a las diferencias y normas para ejercer una ciudadanía constructora del bien común y de la democracia.</w:t>
            </w:r>
          </w:p>
          <w:p w14:paraId="153498C5" w14:textId="77777777" w:rsidR="00D65129" w:rsidRPr="000129E0"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Promover las competencias emprendedoras de los estudiantes, orientados al desarrollo de proyectos productivos, con uso intensivo de tecnologías.</w:t>
            </w:r>
          </w:p>
          <w:p w14:paraId="1DD57F5B" w14:textId="77777777" w:rsidR="00D65129" w:rsidRDefault="00D65129" w:rsidP="00D65129">
            <w:pPr>
              <w:pStyle w:val="Prrafodelista"/>
              <w:numPr>
                <w:ilvl w:val="0"/>
                <w:numId w:val="8"/>
              </w:numPr>
              <w:jc w:val="both"/>
              <w:rPr>
                <w:rFonts w:ascii="Arial" w:hAnsi="Arial"/>
                <w:sz w:val="20"/>
                <w:szCs w:val="20"/>
              </w:rPr>
            </w:pPr>
            <w:r w:rsidRPr="000129E0">
              <w:rPr>
                <w:rFonts w:ascii="Arial" w:hAnsi="Arial"/>
                <w:sz w:val="20"/>
                <w:szCs w:val="20"/>
              </w:rPr>
              <w:t>Preparar al estudiante para acceder a niveles superiores de estudio</w:t>
            </w:r>
            <w:r>
              <w:rPr>
                <w:rStyle w:val="Refdenotaalpie"/>
                <w:rFonts w:ascii="Arial" w:hAnsi="Arial"/>
                <w:sz w:val="20"/>
                <w:szCs w:val="20"/>
              </w:rPr>
              <w:footnoteReference w:id="4"/>
            </w:r>
            <w:r w:rsidRPr="000129E0">
              <w:rPr>
                <w:rFonts w:ascii="Arial" w:hAnsi="Arial"/>
                <w:sz w:val="20"/>
                <w:szCs w:val="20"/>
              </w:rPr>
              <w:t>.</w:t>
            </w:r>
          </w:p>
          <w:p w14:paraId="22838BF8" w14:textId="77777777" w:rsidR="00D65129" w:rsidRDefault="00D65129" w:rsidP="00D65129">
            <w:pPr>
              <w:jc w:val="both"/>
              <w:rPr>
                <w:rFonts w:ascii="Arial" w:hAnsi="Arial"/>
                <w:sz w:val="20"/>
                <w:szCs w:val="20"/>
              </w:rPr>
            </w:pPr>
          </w:p>
          <w:p w14:paraId="2B9D6EA1" w14:textId="77777777" w:rsidR="00D65129" w:rsidRPr="004B178F" w:rsidRDefault="00D65129" w:rsidP="00D65129">
            <w:pPr>
              <w:jc w:val="both"/>
              <w:rPr>
                <w:rFonts w:ascii="Arial" w:hAnsi="Arial"/>
                <w:sz w:val="20"/>
                <w:szCs w:val="20"/>
              </w:rPr>
            </w:pPr>
            <w:r>
              <w:rPr>
                <w:rFonts w:ascii="Arial" w:hAnsi="Arial"/>
                <w:sz w:val="20"/>
                <w:szCs w:val="20"/>
              </w:rPr>
              <w:t>El presente indicador no considera a las unidades productoras asociada a las II.EE de secundaria que tiene un convenio firmado para la implementación del modelo de servicio denominado “Modelo de Servicio Educativo para la Atención de Estudiantes con Habilidades Sobresalientes”.</w:t>
            </w:r>
          </w:p>
          <w:p w14:paraId="7F52E88A" w14:textId="3015E0F0" w:rsidR="002C6B38" w:rsidRPr="009E6B4A" w:rsidRDefault="002C6B38">
            <w:pPr>
              <w:rPr>
                <w:rFonts w:ascii="Arial" w:hAnsi="Arial" w:cs="Arial"/>
                <w:b/>
                <w:color w:val="FF0000"/>
                <w:szCs w:val="20"/>
              </w:rPr>
            </w:pPr>
          </w:p>
        </w:tc>
      </w:tr>
      <w:tr w:rsidR="00D65129" w:rsidRPr="00D65129"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D65129" w:rsidRDefault="002C6B38" w:rsidP="002C6B38">
            <w:pPr>
              <w:rPr>
                <w:rFonts w:ascii="Arial" w:hAnsi="Arial" w:cs="Arial"/>
                <w:b/>
                <w:szCs w:val="20"/>
              </w:rPr>
            </w:pPr>
            <w:r w:rsidRPr="00D65129">
              <w:rPr>
                <w:rFonts w:ascii="Arial" w:hAnsi="Arial" w:cs="Arial"/>
                <w:b/>
                <w:bCs/>
                <w:szCs w:val="20"/>
              </w:rPr>
              <w:lastRenderedPageBreak/>
              <w:t>Justificación</w:t>
            </w:r>
          </w:p>
        </w:tc>
      </w:tr>
      <w:tr w:rsidR="002D244C" w:rsidRPr="002D244C"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1019F" w14:textId="77777777" w:rsidR="00D65129" w:rsidRPr="002D244C" w:rsidRDefault="00D65129" w:rsidP="00D65129">
            <w:pPr>
              <w:contextualSpacing/>
              <w:jc w:val="both"/>
              <w:rPr>
                <w:rFonts w:ascii="Arial" w:hAnsi="Arial"/>
                <w:sz w:val="20"/>
                <w:szCs w:val="20"/>
              </w:rPr>
            </w:pPr>
            <w:r w:rsidRPr="002D244C">
              <w:rPr>
                <w:rFonts w:ascii="Arial" w:hAnsi="Arial"/>
                <w:sz w:val="20"/>
                <w:szCs w:val="20"/>
              </w:rPr>
              <w:t>Este indicador permite medir directamente la brecha de calidad de la infraestructura educativa que brinda el servicio de educación secundaria. El cierre de esta brecha está vinculado directamente con la ejecución de inversiones.</w:t>
            </w:r>
          </w:p>
          <w:p w14:paraId="7D76E9E9" w14:textId="5CF90B53" w:rsidR="002C6B38" w:rsidRPr="002D244C" w:rsidRDefault="002C6B38" w:rsidP="002C6B38">
            <w:pPr>
              <w:rPr>
                <w:rFonts w:ascii="Arial" w:hAnsi="Arial" w:cs="Arial"/>
                <w:b/>
                <w:szCs w:val="20"/>
              </w:rPr>
            </w:pPr>
          </w:p>
        </w:tc>
      </w:tr>
      <w:tr w:rsidR="002D244C" w:rsidRPr="002D244C"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2D244C" w:rsidRDefault="002C6B38" w:rsidP="002C6B38">
            <w:pPr>
              <w:rPr>
                <w:rFonts w:ascii="Arial" w:hAnsi="Arial" w:cs="Arial"/>
                <w:b/>
                <w:szCs w:val="20"/>
              </w:rPr>
            </w:pPr>
            <w:r w:rsidRPr="002D244C">
              <w:rPr>
                <w:rFonts w:ascii="Arial" w:hAnsi="Arial" w:cs="Arial"/>
                <w:b/>
                <w:szCs w:val="20"/>
              </w:rPr>
              <w:t>Método de Cálculo</w:t>
            </w:r>
          </w:p>
        </w:tc>
      </w:tr>
      <w:tr w:rsidR="002D244C" w:rsidRPr="002D244C"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2D244C"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2D244C"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2D244C"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2D244C"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2D244C"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2D244C"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2D244C" w:rsidRDefault="002C6B38" w:rsidP="002C6B38">
            <w:pPr>
              <w:rPr>
                <w:rFonts w:ascii="Arial" w:hAnsi="Arial" w:cs="Arial"/>
                <w:sz w:val="18"/>
                <w:szCs w:val="20"/>
              </w:rPr>
            </w:pPr>
          </w:p>
        </w:tc>
      </w:tr>
      <w:tr w:rsidR="002D244C" w:rsidRPr="002D244C" w14:paraId="04346496" w14:textId="451BB1F0" w:rsidTr="00225544">
        <w:trPr>
          <w:trHeight w:val="357"/>
        </w:trPr>
        <w:tc>
          <w:tcPr>
            <w:tcW w:w="3444" w:type="dxa"/>
            <w:tcBorders>
              <w:left w:val="single" w:sz="4" w:space="0" w:color="auto"/>
            </w:tcBorders>
            <w:vAlign w:val="center"/>
          </w:tcPr>
          <w:p w14:paraId="1AC3036D" w14:textId="747D65C8" w:rsidR="002C6B38" w:rsidRPr="002D244C"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2D244C" w:rsidRDefault="002C6B38" w:rsidP="002C6B38">
            <w:pPr>
              <w:jc w:val="center"/>
              <w:rPr>
                <w:rFonts w:ascii="Arial" w:hAnsi="Arial" w:cs="Arial"/>
                <w:sz w:val="18"/>
                <w:szCs w:val="20"/>
              </w:rPr>
            </w:pPr>
            <w:r w:rsidRPr="002D244C">
              <w:rPr>
                <w:rFonts w:ascii="Arial" w:hAnsi="Arial" w:cs="Arial"/>
                <w:sz w:val="18"/>
                <w:szCs w:val="20"/>
              </w:rPr>
              <w:t>=</w:t>
            </w:r>
          </w:p>
        </w:tc>
        <w:tc>
          <w:tcPr>
            <w:tcW w:w="693" w:type="dxa"/>
            <w:vAlign w:val="center"/>
          </w:tcPr>
          <w:p w14:paraId="46672FE2" w14:textId="47A75AE1" w:rsidR="002C6B38" w:rsidRPr="002D244C" w:rsidRDefault="002C6B38" w:rsidP="00246044">
            <w:pPr>
              <w:rPr>
                <w:rFonts w:ascii="Arial" w:hAnsi="Arial" w:cs="Arial"/>
                <w:sz w:val="18"/>
                <w:szCs w:val="20"/>
              </w:rPr>
            </w:pPr>
            <w:r w:rsidRPr="002D244C">
              <w:rPr>
                <w:rFonts w:ascii="Arial" w:hAnsi="Arial" w:cs="Arial"/>
                <w:sz w:val="18"/>
                <w:szCs w:val="20"/>
              </w:rPr>
              <w:t xml:space="preserve">   </w:t>
            </w:r>
            <w:r w:rsidR="00C6697F">
              <w:rPr>
                <w:rFonts w:ascii="Arial" w:hAnsi="Arial" w:cs="Arial"/>
                <w:sz w:val="18"/>
                <w:szCs w:val="20"/>
              </w:rPr>
              <w:t>1 -</w:t>
            </w:r>
          </w:p>
        </w:tc>
        <w:tc>
          <w:tcPr>
            <w:tcW w:w="2071" w:type="dxa"/>
            <w:tcBorders>
              <w:bottom w:val="single" w:sz="4" w:space="0" w:color="auto"/>
            </w:tcBorders>
            <w:vAlign w:val="center"/>
          </w:tcPr>
          <w:p w14:paraId="70B109B8" w14:textId="7DF5B705" w:rsidR="002C6B38" w:rsidRPr="002D244C" w:rsidRDefault="00C6697F" w:rsidP="002C6B38">
            <w:pPr>
              <w:jc w:val="center"/>
              <w:rPr>
                <w:rFonts w:ascii="Arial" w:hAnsi="Arial" w:cs="Arial"/>
                <w:sz w:val="18"/>
                <w:szCs w:val="20"/>
              </w:rPr>
            </w:pPr>
            <w:r>
              <w:rPr>
                <w:rFonts w:ascii="Arial" w:hAnsi="Arial" w:cs="Arial"/>
                <w:sz w:val="18"/>
                <w:szCs w:val="20"/>
              </w:rPr>
              <w:t>Implementado</w:t>
            </w:r>
          </w:p>
        </w:tc>
        <w:tc>
          <w:tcPr>
            <w:tcW w:w="1102" w:type="dxa"/>
            <w:vAlign w:val="center"/>
          </w:tcPr>
          <w:p w14:paraId="62DEA624" w14:textId="2E907EDA" w:rsidR="002C6B38" w:rsidRPr="002D244C" w:rsidRDefault="002C6B38" w:rsidP="002C6B38">
            <w:pPr>
              <w:rPr>
                <w:rFonts w:ascii="Arial" w:hAnsi="Arial" w:cs="Arial"/>
                <w:sz w:val="18"/>
                <w:szCs w:val="20"/>
              </w:rPr>
            </w:pPr>
            <w:r w:rsidRPr="002D244C">
              <w:rPr>
                <w:rFonts w:ascii="Arial" w:hAnsi="Arial" w:cs="Arial"/>
                <w:sz w:val="18"/>
                <w:szCs w:val="20"/>
              </w:rPr>
              <w:t>x 100</w:t>
            </w:r>
            <w:r w:rsidR="001E1655">
              <w:rPr>
                <w:rFonts w:ascii="Arial" w:hAnsi="Arial" w:cs="Arial"/>
                <w:sz w:val="18"/>
                <w:szCs w:val="20"/>
              </w:rPr>
              <w:t>%</w:t>
            </w:r>
            <w:r w:rsidRPr="002D244C">
              <w:rPr>
                <w:rFonts w:ascii="Arial" w:hAnsi="Arial" w:cs="Arial"/>
                <w:sz w:val="18"/>
                <w:szCs w:val="20"/>
              </w:rPr>
              <w:t xml:space="preserve">   =</w:t>
            </w:r>
          </w:p>
        </w:tc>
        <w:tc>
          <w:tcPr>
            <w:tcW w:w="800" w:type="dxa"/>
            <w:vAlign w:val="center"/>
          </w:tcPr>
          <w:p w14:paraId="57DD5484" w14:textId="77777777" w:rsidR="002C6B38" w:rsidRPr="002D244C"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2D244C" w:rsidRDefault="002C6B38" w:rsidP="002C6B38">
            <w:pPr>
              <w:rPr>
                <w:rFonts w:ascii="Arial" w:hAnsi="Arial" w:cs="Arial"/>
                <w:sz w:val="18"/>
                <w:szCs w:val="20"/>
              </w:rPr>
            </w:pPr>
          </w:p>
        </w:tc>
      </w:tr>
      <w:tr w:rsidR="002D244C" w:rsidRPr="002D244C" w14:paraId="344D86A3" w14:textId="7BED7EB9" w:rsidTr="006A4D56">
        <w:trPr>
          <w:trHeight w:val="255"/>
        </w:trPr>
        <w:tc>
          <w:tcPr>
            <w:tcW w:w="3444" w:type="dxa"/>
            <w:tcBorders>
              <w:left w:val="single" w:sz="4" w:space="0" w:color="auto"/>
            </w:tcBorders>
            <w:vAlign w:val="center"/>
          </w:tcPr>
          <w:p w14:paraId="4A25112C" w14:textId="168B723D" w:rsidR="002C6B38" w:rsidRPr="002D244C"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2D244C" w:rsidRDefault="002C6B38" w:rsidP="002C6B38">
            <w:pPr>
              <w:rPr>
                <w:rFonts w:ascii="Arial" w:hAnsi="Arial" w:cs="Arial"/>
                <w:sz w:val="18"/>
                <w:szCs w:val="20"/>
              </w:rPr>
            </w:pPr>
          </w:p>
        </w:tc>
        <w:tc>
          <w:tcPr>
            <w:tcW w:w="693" w:type="dxa"/>
            <w:vAlign w:val="center"/>
          </w:tcPr>
          <w:p w14:paraId="16A721F7" w14:textId="6B73AC02" w:rsidR="002C6B38" w:rsidRPr="002D244C" w:rsidRDefault="002C6B38" w:rsidP="002C6B38">
            <w:pPr>
              <w:rPr>
                <w:rFonts w:ascii="Arial" w:hAnsi="Arial" w:cs="Arial"/>
                <w:sz w:val="18"/>
                <w:szCs w:val="20"/>
              </w:rPr>
            </w:pPr>
          </w:p>
        </w:tc>
        <w:tc>
          <w:tcPr>
            <w:tcW w:w="2071" w:type="dxa"/>
            <w:vAlign w:val="center"/>
          </w:tcPr>
          <w:p w14:paraId="2CA9FB79" w14:textId="1827ADA0" w:rsidR="002C6B38" w:rsidRPr="002D244C" w:rsidRDefault="002C6B38" w:rsidP="002C6B38">
            <w:pPr>
              <w:jc w:val="center"/>
              <w:rPr>
                <w:rFonts w:ascii="Arial" w:hAnsi="Arial" w:cs="Arial"/>
                <w:sz w:val="18"/>
                <w:szCs w:val="20"/>
              </w:rPr>
            </w:pPr>
            <w:r w:rsidRPr="002D244C">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2D244C">
              <w:rPr>
                <w:rFonts w:ascii="Arial" w:hAnsi="Arial" w:cs="Arial"/>
                <w:sz w:val="18"/>
                <w:szCs w:val="20"/>
              </w:rPr>
              <w:t>Demandado</w:t>
            </w:r>
          </w:p>
        </w:tc>
        <w:tc>
          <w:tcPr>
            <w:tcW w:w="1102" w:type="dxa"/>
            <w:vAlign w:val="center"/>
          </w:tcPr>
          <w:p w14:paraId="62D86CC3" w14:textId="3B2D75F6" w:rsidR="002C6B38" w:rsidRPr="002D244C" w:rsidRDefault="002C6B38" w:rsidP="002C6B38">
            <w:pPr>
              <w:rPr>
                <w:rFonts w:ascii="Arial" w:hAnsi="Arial" w:cs="Arial"/>
                <w:sz w:val="18"/>
                <w:szCs w:val="20"/>
              </w:rPr>
            </w:pPr>
          </w:p>
        </w:tc>
        <w:tc>
          <w:tcPr>
            <w:tcW w:w="800" w:type="dxa"/>
            <w:vAlign w:val="center"/>
          </w:tcPr>
          <w:p w14:paraId="5EA263D0" w14:textId="69CB78E8" w:rsidR="002C6B38" w:rsidRPr="002D244C"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2D244C" w:rsidRDefault="002C6B38" w:rsidP="002C6B38">
            <w:pPr>
              <w:rPr>
                <w:rFonts w:ascii="Arial" w:hAnsi="Arial" w:cs="Arial"/>
                <w:sz w:val="18"/>
                <w:szCs w:val="20"/>
              </w:rPr>
            </w:pPr>
          </w:p>
        </w:tc>
      </w:tr>
      <w:tr w:rsidR="002D244C" w:rsidRPr="002D244C" w14:paraId="6B5C1D44" w14:textId="29EA102C" w:rsidTr="00966297">
        <w:trPr>
          <w:trHeight w:val="255"/>
        </w:trPr>
        <w:tc>
          <w:tcPr>
            <w:tcW w:w="3444" w:type="dxa"/>
            <w:tcBorders>
              <w:left w:val="single" w:sz="4" w:space="0" w:color="auto"/>
            </w:tcBorders>
            <w:vAlign w:val="center"/>
          </w:tcPr>
          <w:p w14:paraId="07716DD5" w14:textId="2BD341FA" w:rsidR="002C6B38" w:rsidRPr="002D244C" w:rsidRDefault="002C6B38" w:rsidP="002C6B38">
            <w:pPr>
              <w:rPr>
                <w:rFonts w:ascii="Arial" w:hAnsi="Arial" w:cs="Arial"/>
                <w:sz w:val="18"/>
                <w:szCs w:val="20"/>
              </w:rPr>
            </w:pPr>
            <w:r w:rsidRPr="002D244C">
              <w:rPr>
                <w:rFonts w:ascii="Arial" w:hAnsi="Arial" w:cs="Arial"/>
                <w:sz w:val="18"/>
                <w:szCs w:val="20"/>
              </w:rPr>
              <w:t>Donde:</w:t>
            </w:r>
          </w:p>
        </w:tc>
        <w:tc>
          <w:tcPr>
            <w:tcW w:w="698" w:type="dxa"/>
            <w:vAlign w:val="center"/>
          </w:tcPr>
          <w:p w14:paraId="258F2A4B" w14:textId="7B8B66DF" w:rsidR="002C6B38" w:rsidRPr="002D244C"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2D244C"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2D244C"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2D244C"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2D244C"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2D244C" w:rsidRDefault="002C6B38" w:rsidP="002C6B38">
            <w:pPr>
              <w:rPr>
                <w:rFonts w:ascii="Arial" w:hAnsi="Arial" w:cs="Arial"/>
                <w:sz w:val="18"/>
                <w:szCs w:val="20"/>
              </w:rPr>
            </w:pPr>
          </w:p>
        </w:tc>
      </w:tr>
      <w:tr w:rsidR="002D244C" w:rsidRPr="002D244C" w14:paraId="47FDDA09" w14:textId="0C401BB7" w:rsidTr="001D5D9B">
        <w:trPr>
          <w:trHeight w:val="568"/>
        </w:trPr>
        <w:tc>
          <w:tcPr>
            <w:tcW w:w="3444" w:type="dxa"/>
            <w:tcBorders>
              <w:left w:val="single" w:sz="4" w:space="0" w:color="auto"/>
            </w:tcBorders>
            <w:vAlign w:val="center"/>
          </w:tcPr>
          <w:p w14:paraId="4BF3D8E8" w14:textId="5898ED1E" w:rsidR="002C6B38" w:rsidRPr="002D244C" w:rsidRDefault="002C6B38" w:rsidP="002C6B38">
            <w:pPr>
              <w:jc w:val="right"/>
              <w:rPr>
                <w:rFonts w:ascii="Arial" w:hAnsi="Arial" w:cs="Arial"/>
                <w:sz w:val="18"/>
                <w:szCs w:val="20"/>
              </w:rPr>
            </w:pPr>
            <w:r w:rsidRPr="002D244C">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2D244C" w:rsidRDefault="002C6B38" w:rsidP="002C6B38">
            <w:pPr>
              <w:jc w:val="center"/>
              <w:rPr>
                <w:rFonts w:ascii="Arial" w:hAnsi="Arial" w:cs="Arial"/>
                <w:sz w:val="18"/>
                <w:szCs w:val="20"/>
              </w:rPr>
            </w:pPr>
            <w:r w:rsidRPr="002D244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3BD55FA4" w:rsidR="002C6B38" w:rsidRPr="0017146E" w:rsidRDefault="00000000" w:rsidP="0017146E">
            <w:pPr>
              <w:contextualSpacing/>
              <w:jc w:val="both"/>
              <w:rPr>
                <w:rFonts w:ascii="Arial" w:hAnsi="Arial"/>
                <w:sz w:val="20"/>
                <w:szCs w:val="20"/>
              </w:rPr>
            </w:pPr>
            <m:oMath>
              <m:sSubSup>
                <m:sSubSupPr>
                  <m:ctrlPr>
                    <w:rPr>
                      <w:rFonts w:ascii="Cambria Math" w:hAnsi="Cambria Math"/>
                      <w:b/>
                      <w:bCs/>
                      <w:sz w:val="20"/>
                      <w:szCs w:val="20"/>
                    </w:rPr>
                  </m:ctrlPr>
                </m:sSubSupPr>
                <m:e>
                  <m:r>
                    <m:rPr>
                      <m:sty m:val="bi"/>
                    </m:rPr>
                    <w:rPr>
                      <w:rFonts w:ascii="Cambria Math" w:hAnsi="Cambria Math"/>
                      <w:sz w:val="20"/>
                      <w:szCs w:val="20"/>
                    </w:rPr>
                    <m:t>CTUPS</m:t>
                  </m:r>
                </m:e>
                <m:sub>
                  <m:r>
                    <m:rPr>
                      <m:sty m:val="bi"/>
                    </m:rPr>
                    <w:rPr>
                      <w:rFonts w:ascii="Cambria Math" w:hAnsi="Cambria Math"/>
                      <w:sz w:val="20"/>
                      <w:szCs w:val="20"/>
                    </w:rPr>
                    <m:t>t</m:t>
                  </m:r>
                </m:sub>
                <m:sup>
                  <m:r>
                    <m:rPr>
                      <m:sty m:val="b"/>
                    </m:rPr>
                    <w:rPr>
                      <w:rFonts w:ascii="Cambria Math" w:hAnsi="Cambria Math"/>
                      <w:sz w:val="20"/>
                      <w:szCs w:val="20"/>
                    </w:rPr>
                    <m:t xml:space="preserve"> </m:t>
                  </m:r>
                </m:sup>
              </m:sSubSup>
            </m:oMath>
            <w:r w:rsidR="00C6697F" w:rsidRPr="0017146E">
              <w:rPr>
                <w:rFonts w:ascii="Arial" w:hAnsi="Arial"/>
                <w:b/>
                <w:bCs/>
                <w:sz w:val="20"/>
                <w:szCs w:val="20"/>
              </w:rPr>
              <w:t>:</w:t>
            </w:r>
            <w:r w:rsidR="00C6697F" w:rsidRPr="0017146E">
              <w:rPr>
                <w:rFonts w:ascii="Arial" w:hAnsi="Arial"/>
                <w:sz w:val="20"/>
                <w:szCs w:val="20"/>
              </w:rPr>
              <w:t xml:space="preserve"> </w:t>
            </w:r>
            <w:r w:rsidR="00C6697F" w:rsidRPr="002D244C">
              <w:rPr>
                <w:rFonts w:ascii="Arial" w:hAnsi="Arial"/>
                <w:sz w:val="20"/>
                <w:szCs w:val="20"/>
              </w:rPr>
              <w:t xml:space="preserve">Cantidad total de unidades productoras con el servicio de Educación </w:t>
            </w:r>
            <w:r w:rsidR="00C6697F" w:rsidRPr="0017146E">
              <w:rPr>
                <w:rFonts w:ascii="Arial" w:hAnsi="Arial"/>
                <w:sz w:val="20"/>
                <w:szCs w:val="20"/>
              </w:rPr>
              <w:t>Secundaria</w:t>
            </w:r>
            <w:r w:rsidR="00C6697F" w:rsidRPr="002D244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2D244C" w:rsidRDefault="002C6B38" w:rsidP="002C6B38">
            <w:pPr>
              <w:rPr>
                <w:rFonts w:ascii="Arial" w:hAnsi="Arial" w:cs="Arial"/>
                <w:sz w:val="18"/>
                <w:szCs w:val="20"/>
              </w:rPr>
            </w:pPr>
          </w:p>
        </w:tc>
      </w:tr>
      <w:tr w:rsidR="002D244C" w:rsidRPr="002D244C"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2D244C" w:rsidRDefault="002C6B38" w:rsidP="002C6B38">
            <w:pPr>
              <w:rPr>
                <w:rFonts w:ascii="Arial" w:hAnsi="Arial" w:cs="Arial"/>
                <w:sz w:val="18"/>
                <w:szCs w:val="20"/>
              </w:rPr>
            </w:pPr>
          </w:p>
        </w:tc>
      </w:tr>
      <w:tr w:rsidR="002D244C" w:rsidRPr="002D244C" w14:paraId="0444C1B3" w14:textId="146F9E5D" w:rsidTr="002C6B38">
        <w:trPr>
          <w:trHeight w:val="593"/>
        </w:trPr>
        <w:tc>
          <w:tcPr>
            <w:tcW w:w="3444" w:type="dxa"/>
            <w:tcBorders>
              <w:left w:val="single" w:sz="4" w:space="0" w:color="auto"/>
              <w:bottom w:val="single" w:sz="4" w:space="0" w:color="auto"/>
            </w:tcBorders>
            <w:vAlign w:val="center"/>
          </w:tcPr>
          <w:p w14:paraId="18557181" w14:textId="0A0A1488" w:rsidR="002C6B38" w:rsidRPr="002D244C" w:rsidRDefault="004A630A"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2D244C" w:rsidRDefault="002C6B38" w:rsidP="002C6B38">
            <w:pPr>
              <w:jc w:val="center"/>
              <w:rPr>
                <w:rFonts w:ascii="Arial" w:hAnsi="Arial" w:cs="Arial"/>
                <w:sz w:val="18"/>
                <w:szCs w:val="20"/>
              </w:rPr>
            </w:pPr>
            <w:r w:rsidRPr="002D244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6A695339" w:rsidR="002C6B38" w:rsidRPr="0017146E" w:rsidRDefault="00000000" w:rsidP="0017146E">
            <w:pPr>
              <w:contextualSpacing/>
              <w:jc w:val="both"/>
              <w:rPr>
                <w:rFonts w:ascii="Cambria Math" w:hAnsi="Cambria Math"/>
                <w:sz w:val="20"/>
                <w:szCs w:val="20"/>
              </w:rPr>
            </w:pPr>
            <m:oMath>
              <m:sSubSup>
                <m:sSubSupPr>
                  <m:ctrlPr>
                    <w:rPr>
                      <w:rFonts w:ascii="Cambria Math" w:hAnsi="Cambria Math"/>
                      <w:b/>
                      <w:bCs/>
                      <w:sz w:val="20"/>
                      <w:szCs w:val="20"/>
                    </w:rPr>
                  </m:ctrlPr>
                </m:sSubSupPr>
                <m:e>
                  <m:r>
                    <m:rPr>
                      <m:sty m:val="bi"/>
                    </m:rPr>
                    <w:rPr>
                      <w:rFonts w:ascii="Cambria Math" w:hAnsi="Cambria Math"/>
                      <w:sz w:val="20"/>
                      <w:szCs w:val="20"/>
                    </w:rPr>
                    <m:t>CTUPSE</m:t>
                  </m:r>
                </m:e>
                <m:sub>
                  <m:r>
                    <m:rPr>
                      <m:sty m:val="bi"/>
                    </m:rPr>
                    <w:rPr>
                      <w:rFonts w:ascii="Cambria Math" w:hAnsi="Cambria Math"/>
                      <w:sz w:val="20"/>
                      <w:szCs w:val="20"/>
                    </w:rPr>
                    <m:t>t</m:t>
                  </m:r>
                </m:sub>
                <m:sup>
                  <m:r>
                    <m:rPr>
                      <m:sty m:val="b"/>
                    </m:rPr>
                    <w:rPr>
                      <w:rFonts w:ascii="Cambria Math" w:hAnsi="Cambria Math"/>
                      <w:sz w:val="20"/>
                      <w:szCs w:val="20"/>
                    </w:rPr>
                    <m:t xml:space="preserve"> </m:t>
                  </m:r>
                </m:sup>
              </m:sSubSup>
            </m:oMath>
            <w:r w:rsidR="00C6697F" w:rsidRPr="0017146E">
              <w:rPr>
                <w:rFonts w:ascii="Cambria Math" w:hAnsi="Cambria Math"/>
                <w:b/>
                <w:bCs/>
                <w:sz w:val="20"/>
                <w:szCs w:val="20"/>
              </w:rPr>
              <w:t>:</w:t>
            </w:r>
            <w:r w:rsidR="00C6697F" w:rsidRPr="0017146E">
              <w:rPr>
                <w:rFonts w:ascii="Cambria Math" w:hAnsi="Cambria Math"/>
                <w:sz w:val="20"/>
                <w:szCs w:val="20"/>
              </w:rPr>
              <w:t xml:space="preserve"> </w:t>
            </w:r>
            <w:r w:rsidR="00C6697F" w:rsidRPr="00F54BA5">
              <w:rPr>
                <w:rFonts w:ascii="Arial" w:hAnsi="Arial"/>
                <w:sz w:val="20"/>
                <w:szCs w:val="20"/>
              </w:rPr>
              <w:t xml:space="preserve">Cantidad de unidades productoras con el servicio de Educación </w:t>
            </w:r>
            <w:r w:rsidR="00C6697F" w:rsidRPr="0017146E">
              <w:rPr>
                <w:rFonts w:ascii="Arial" w:hAnsi="Arial"/>
                <w:sz w:val="20"/>
                <w:szCs w:val="20"/>
              </w:rPr>
              <w:t xml:space="preserve">Secundaria con capacidad instalada </w:t>
            </w:r>
            <w:r w:rsidR="00412C06">
              <w:rPr>
                <w:rFonts w:ascii="Arial" w:hAnsi="Arial"/>
                <w:sz w:val="20"/>
                <w:szCs w:val="20"/>
              </w:rPr>
              <w:t>existente</w:t>
            </w:r>
            <w:r w:rsidR="00C6697F" w:rsidRPr="00F54BA5">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C6697F" w:rsidRPr="0017146E">
              <w:rPr>
                <w:rFonts w:ascii="Cambria Math" w:hAnsi="Cambria Math"/>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2D244C" w:rsidRDefault="002C6B38" w:rsidP="002C6B38">
            <w:pPr>
              <w:rPr>
                <w:rFonts w:ascii="Arial" w:hAnsi="Arial" w:cs="Arial"/>
                <w:sz w:val="18"/>
                <w:szCs w:val="20"/>
              </w:rPr>
            </w:pPr>
          </w:p>
          <w:p w14:paraId="7FCDFD31" w14:textId="77777777" w:rsidR="00246044" w:rsidRPr="002D244C" w:rsidRDefault="00246044" w:rsidP="002C6B38">
            <w:pPr>
              <w:rPr>
                <w:rFonts w:ascii="Arial" w:hAnsi="Arial" w:cs="Arial"/>
                <w:sz w:val="18"/>
                <w:szCs w:val="20"/>
              </w:rPr>
            </w:pPr>
          </w:p>
          <w:p w14:paraId="191B0FC8" w14:textId="77777777" w:rsidR="00246044" w:rsidRPr="002D244C" w:rsidRDefault="00246044" w:rsidP="002C6B38">
            <w:pPr>
              <w:rPr>
                <w:rFonts w:ascii="Arial" w:hAnsi="Arial" w:cs="Arial"/>
                <w:sz w:val="18"/>
                <w:szCs w:val="20"/>
              </w:rPr>
            </w:pPr>
          </w:p>
        </w:tc>
      </w:tr>
      <w:tr w:rsidR="002D244C" w:rsidRPr="002D244C"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1755649" w14:textId="77777777" w:rsidR="002D244C" w:rsidRPr="002D244C" w:rsidRDefault="002D244C" w:rsidP="002D244C">
            <w:pPr>
              <w:spacing w:before="120" w:after="120"/>
              <w:jc w:val="both"/>
              <w:rPr>
                <w:rFonts w:ascii="Arial" w:hAnsi="Arial"/>
                <w:sz w:val="20"/>
                <w:szCs w:val="20"/>
              </w:rPr>
            </w:pPr>
            <w:r w:rsidRPr="002D244C">
              <w:rPr>
                <w:rFonts w:ascii="Arial" w:hAnsi="Arial"/>
                <w:sz w:val="20"/>
                <w:szCs w:val="20"/>
              </w:rPr>
              <w:t>Fórmula para el cálculo del porcentaje de unidades productoras con el servicio de educación secundaria que contiene capacidad instalada inadecuada (</w:t>
            </w:r>
            <m:oMath>
              <m:sSub>
                <m:sSubPr>
                  <m:ctrlPr>
                    <w:rPr>
                      <w:rFonts w:ascii="Cambria Math" w:hAnsi="Cambria Math"/>
                      <w:sz w:val="20"/>
                      <w:szCs w:val="20"/>
                    </w:rPr>
                  </m:ctrlPr>
                </m:sSubPr>
                <m:e>
                  <m:r>
                    <m:rPr>
                      <m:sty m:val="b"/>
                    </m:rPr>
                    <w:rPr>
                      <w:rFonts w:ascii="Cambria Math" w:hAnsi="Cambria Math"/>
                      <w:sz w:val="20"/>
                      <w:szCs w:val="20"/>
                    </w:rPr>
                    <m:t>UPESCII</m:t>
                  </m:r>
                </m:e>
                <m:sub>
                  <m:r>
                    <m:rPr>
                      <m:nor/>
                    </m:rPr>
                    <w:rPr>
                      <w:rFonts w:ascii="Arial" w:hAnsi="Arial"/>
                      <w:sz w:val="20"/>
                      <w:szCs w:val="20"/>
                    </w:rPr>
                    <m:t>t</m:t>
                  </m:r>
                </m:sub>
              </m:sSub>
            </m:oMath>
            <w:r w:rsidRPr="002D244C">
              <w:rPr>
                <w:rFonts w:ascii="Arial" w:hAnsi="Arial"/>
                <w:sz w:val="20"/>
                <w:szCs w:val="20"/>
              </w:rPr>
              <w:t>):</w:t>
            </w:r>
          </w:p>
          <w:p w14:paraId="6D7C1000" w14:textId="65AAAA0A" w:rsidR="002D244C" w:rsidRPr="002D244C" w:rsidRDefault="00000000" w:rsidP="002D244C">
            <w:pPr>
              <w:contextualSpacing/>
              <w:jc w:val="center"/>
              <w:rPr>
                <w:rFonts w:ascii="Arial" w:hAnsi="Arial"/>
                <w:sz w:val="20"/>
                <w:szCs w:val="20"/>
              </w:rPr>
            </w:pPr>
            <m:oMath>
              <m:sSub>
                <m:sSubPr>
                  <m:ctrlPr>
                    <w:rPr>
                      <w:rFonts w:ascii="Cambria Math" w:hAnsi="Cambria Math"/>
                      <w:b/>
                      <w:bCs/>
                      <w:sz w:val="24"/>
                      <w:szCs w:val="24"/>
                    </w:rPr>
                  </m:ctrlPr>
                </m:sSubPr>
                <m:e>
                  <m:r>
                    <m:rPr>
                      <m:sty m:val="b"/>
                    </m:rPr>
                    <w:rPr>
                      <w:rFonts w:ascii="Cambria Math" w:hAnsi="Cambria Math"/>
                      <w:sz w:val="24"/>
                      <w:szCs w:val="24"/>
                      <w:lang w:val="en-US"/>
                    </w:rPr>
                    <m:t>UPESCII</m:t>
                  </m:r>
                </m:e>
                <m:sub>
                  <m:r>
                    <m:rPr>
                      <m:nor/>
                    </m:rPr>
                    <w:rPr>
                      <w:rFonts w:ascii="Arial" w:hAnsi="Arial"/>
                      <w:b/>
                      <w:bCs/>
                      <w:sz w:val="24"/>
                      <w:szCs w:val="24"/>
                      <w:lang w:val="en-US"/>
                    </w:rPr>
                    <m:t>t</m:t>
                  </m:r>
                </m:sub>
              </m:sSub>
              <m:r>
                <m:rPr>
                  <m:sty m:val="p"/>
                </m:rPr>
                <w:rPr>
                  <w:rFonts w:ascii="Cambria Math" w:hAnsi="Cambria Math"/>
                  <w:sz w:val="24"/>
                  <w:szCs w:val="24"/>
                  <w:lang w:val="en-US"/>
                </w:rPr>
                <m:t>=</m:t>
              </m:r>
              <m:d>
                <m:dPr>
                  <m:ctrlPr>
                    <w:rPr>
                      <w:rFonts w:ascii="Cambria Math" w:hAnsi="Cambria Math"/>
                      <w:sz w:val="24"/>
                      <w:szCs w:val="24"/>
                      <w:lang w:val="en-US"/>
                    </w:rPr>
                  </m:ctrlPr>
                </m:dPr>
                <m:e>
                  <m:f>
                    <m:fPr>
                      <m:ctrlPr>
                        <w:rPr>
                          <w:rFonts w:ascii="Cambria Math" w:hAnsi="Cambria Math"/>
                          <w:sz w:val="24"/>
                          <w:szCs w:val="24"/>
                        </w:rPr>
                      </m:ctrlPr>
                    </m:fPr>
                    <m:num>
                      <m:sSubSup>
                        <m:sSubSupPr>
                          <m:ctrlPr>
                            <w:rPr>
                              <w:rFonts w:ascii="Cambria Math" w:hAnsi="Cambria Math"/>
                              <w:sz w:val="24"/>
                              <w:szCs w:val="24"/>
                            </w:rPr>
                          </m:ctrlPr>
                        </m:sSubSupPr>
                        <m:e>
                          <m:sSubSup>
                            <m:sSubSupPr>
                              <m:ctrlPr>
                                <w:rPr>
                                  <w:rFonts w:ascii="Cambria Math" w:hAnsi="Cambria Math"/>
                                  <w:sz w:val="24"/>
                                  <w:szCs w:val="24"/>
                                </w:rPr>
                              </m:ctrlPr>
                            </m:sSubSupPr>
                            <m:e>
                              <m:r>
                                <m:rPr>
                                  <m:sty m:val="p"/>
                                </m:rPr>
                                <w:rPr>
                                  <w:rFonts w:ascii="Cambria Math" w:hAnsi="Cambria Math"/>
                                  <w:sz w:val="24"/>
                                  <w:szCs w:val="24"/>
                                  <w:lang w:val="en-US"/>
                                </w:rPr>
                                <m:t>CUPSI</m:t>
                              </m:r>
                            </m:e>
                            <m:sub>
                              <m:r>
                                <m:rPr>
                                  <m:sty m:val="p"/>
                                </m:rPr>
                                <w:rPr>
                                  <w:rFonts w:ascii="Cambria Math" w:hAnsi="Cambria Math"/>
                                  <w:sz w:val="24"/>
                                  <w:szCs w:val="24"/>
                                  <w:lang w:val="en-US"/>
                                </w:rPr>
                                <m:t>t</m:t>
                              </m:r>
                            </m:sub>
                            <m:sup>
                              <m:r>
                                <m:rPr>
                                  <m:sty m:val="p"/>
                                </m:rPr>
                                <w:rPr>
                                  <w:rFonts w:ascii="Cambria Math" w:hAnsi="Cambria Math"/>
                                  <w:sz w:val="24"/>
                                  <w:szCs w:val="24"/>
                                  <w:lang w:val="en-US"/>
                                </w:rPr>
                                <m:t>PN</m:t>
                              </m:r>
                            </m:sup>
                          </m:sSubSup>
                          <m:r>
                            <m:rPr>
                              <m:sty m:val="p"/>
                            </m:rPr>
                            <w:rPr>
                              <w:rFonts w:ascii="Cambria Math" w:hAnsi="Cambria Math"/>
                              <w:sz w:val="24"/>
                              <w:szCs w:val="24"/>
                              <w:lang w:val="en-US"/>
                            </w:rPr>
                            <m:t>+ CUPSI</m:t>
                          </m:r>
                        </m:e>
                        <m:sub>
                          <m:r>
                            <m:rPr>
                              <m:sty m:val="p"/>
                            </m:rPr>
                            <w:rPr>
                              <w:rFonts w:ascii="Cambria Math" w:hAnsi="Cambria Math"/>
                              <w:sz w:val="24"/>
                              <w:szCs w:val="24"/>
                              <w:lang w:val="en-US"/>
                            </w:rPr>
                            <m:t>t</m:t>
                          </m:r>
                        </m:sub>
                        <m:sup>
                          <m:r>
                            <m:rPr>
                              <m:sty m:val="p"/>
                            </m:rPr>
                            <w:rPr>
                              <w:rFonts w:ascii="Cambria Math" w:hAnsi="Cambria Math"/>
                              <w:sz w:val="24"/>
                              <w:szCs w:val="24"/>
                              <w:lang w:val="en-US"/>
                            </w:rPr>
                            <m:t>CE</m:t>
                          </m:r>
                        </m:sup>
                      </m:sSubSup>
                      <m:sSubSup>
                        <m:sSubSupPr>
                          <m:ctrlPr>
                            <w:rPr>
                              <w:rFonts w:ascii="Cambria Math" w:hAnsi="Cambria Math"/>
                              <w:i/>
                              <w:sz w:val="24"/>
                              <w:szCs w:val="24"/>
                            </w:rPr>
                          </m:ctrlPr>
                        </m:sSubSupPr>
                        <m:e>
                          <m:r>
                            <w:rPr>
                              <w:rFonts w:ascii="Cambria Math" w:hAnsi="Cambria Math"/>
                              <w:sz w:val="24"/>
                              <w:szCs w:val="24"/>
                              <w:lang w:val="en-US"/>
                            </w:rPr>
                            <m:t xml:space="preserve"> + </m:t>
                          </m:r>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I</m:t>
                          </m:r>
                        </m:sup>
                      </m:sSubSup>
                    </m:num>
                    <m:den>
                      <m:sSubSup>
                        <m:sSubSupPr>
                          <m:ctrlPr>
                            <w:rPr>
                              <w:rFonts w:ascii="Cambria Math" w:hAnsi="Cambria Math"/>
                              <w:sz w:val="24"/>
                              <w:szCs w:val="24"/>
                            </w:rPr>
                          </m:ctrlPr>
                        </m:sSubSupPr>
                        <m:e>
                          <m:r>
                            <m:rPr>
                              <m:sty m:val="p"/>
                            </m:rPr>
                            <w:rPr>
                              <w:rFonts w:ascii="Cambria Math" w:hAnsi="Cambria Math"/>
                              <w:sz w:val="24"/>
                              <w:szCs w:val="24"/>
                              <w:lang w:val="en-US"/>
                            </w:rPr>
                            <m:t>NS</m:t>
                          </m:r>
                        </m:e>
                        <m:sub>
                          <m:r>
                            <m:rPr>
                              <m:sty m:val="p"/>
                            </m:rPr>
                            <w:rPr>
                              <w:rFonts w:ascii="Cambria Math" w:hAnsi="Cambria Math"/>
                              <w:sz w:val="24"/>
                              <w:szCs w:val="24"/>
                              <w:lang w:val="en-US"/>
                            </w:rPr>
                            <m:t>t</m:t>
                          </m:r>
                        </m:sub>
                        <m:sup>
                          <m:r>
                            <m:rPr>
                              <m:sty m:val="p"/>
                            </m:rPr>
                            <w:rPr>
                              <w:rFonts w:ascii="Cambria Math" w:hAnsi="Cambria Math"/>
                              <w:sz w:val="24"/>
                              <w:szCs w:val="24"/>
                              <w:lang w:val="en-US"/>
                            </w:rPr>
                            <m:t>PN</m:t>
                          </m:r>
                        </m:sup>
                      </m:sSubSup>
                      <m:r>
                        <m:rPr>
                          <m:sty m:val="p"/>
                        </m:rPr>
                        <w:rPr>
                          <w:rFonts w:ascii="Cambria Math" w:hAnsi="Cambria Math"/>
                          <w:sz w:val="24"/>
                          <w:szCs w:val="24"/>
                          <w:lang w:val="en-US"/>
                        </w:rPr>
                        <m:t>+</m:t>
                      </m:r>
                      <m:sSubSup>
                        <m:sSubSupPr>
                          <m:ctrlPr>
                            <w:rPr>
                              <w:rFonts w:ascii="Cambria Math" w:hAnsi="Cambria Math"/>
                              <w:sz w:val="24"/>
                              <w:szCs w:val="24"/>
                            </w:rPr>
                          </m:ctrlPr>
                        </m:sSubSupPr>
                        <m:e>
                          <m:r>
                            <m:rPr>
                              <m:sty m:val="p"/>
                            </m:rPr>
                            <w:rPr>
                              <w:rFonts w:ascii="Cambria Math" w:hAnsi="Cambria Math"/>
                              <w:sz w:val="24"/>
                              <w:szCs w:val="24"/>
                              <w:lang w:val="en-US"/>
                            </w:rPr>
                            <m:t>NS</m:t>
                          </m:r>
                        </m:e>
                        <m:sub>
                          <m:r>
                            <m:rPr>
                              <m:sty m:val="p"/>
                            </m:rPr>
                            <w:rPr>
                              <w:rFonts w:ascii="Cambria Math" w:hAnsi="Cambria Math"/>
                              <w:sz w:val="24"/>
                              <w:szCs w:val="24"/>
                              <w:lang w:val="en-US"/>
                            </w:rPr>
                            <m:t>t</m:t>
                          </m:r>
                        </m:sub>
                        <m:sup>
                          <m:r>
                            <m:rPr>
                              <m:sty m:val="p"/>
                            </m:rPr>
                            <w:rPr>
                              <w:rFonts w:ascii="Cambria Math" w:hAnsi="Cambria Math"/>
                              <w:sz w:val="24"/>
                              <w:szCs w:val="24"/>
                              <w:lang w:val="en-US"/>
                            </w:rPr>
                            <m:t>CE</m:t>
                          </m:r>
                        </m:sup>
                      </m:sSubSup>
                      <m:r>
                        <w:rPr>
                          <w:rFonts w:ascii="Cambria Math" w:hAnsi="Cambria Math"/>
                          <w:sz w:val="24"/>
                          <w:szCs w:val="24"/>
                          <w:lang w:val="en-AU"/>
                        </w:rPr>
                        <m:t>+</m:t>
                      </m:r>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I</m:t>
                          </m:r>
                        </m:sup>
                      </m:sSubSup>
                    </m:den>
                  </m:f>
                </m:e>
              </m:d>
              <m:r>
                <m:rPr>
                  <m:sty m:val="p"/>
                </m:rPr>
                <w:rPr>
                  <w:rFonts w:ascii="Cambria Math" w:hAnsi="Cambria Math"/>
                  <w:sz w:val="24"/>
                  <w:szCs w:val="24"/>
                  <w:lang w:val="en-US"/>
                </w:rPr>
                <m:t>100%=</m:t>
              </m:r>
              <m:d>
                <m:dPr>
                  <m:ctrlPr>
                    <w:rPr>
                      <w:rFonts w:ascii="Cambria Math" w:hAnsi="Cambria Math"/>
                      <w:sz w:val="24"/>
                      <w:szCs w:val="24"/>
                      <w:lang w:val="en-US"/>
                    </w:rPr>
                  </m:ctrlPr>
                </m:dPr>
                <m:e>
                  <m:f>
                    <m:fPr>
                      <m:ctrlPr>
                        <w:rPr>
                          <w:rFonts w:ascii="Cambria Math" w:hAnsi="Cambria Math"/>
                          <w:sz w:val="24"/>
                          <w:szCs w:val="24"/>
                          <w:lang w:val="en-US"/>
                        </w:rPr>
                      </m:ctrlPr>
                    </m:fPr>
                    <m:num>
                      <m:sSubSup>
                        <m:sSubSupPr>
                          <m:ctrlPr>
                            <w:rPr>
                              <w:rFonts w:ascii="Cambria Math" w:hAnsi="Cambria Math"/>
                              <w:sz w:val="24"/>
                              <w:szCs w:val="24"/>
                              <w:lang w:val="en-US"/>
                            </w:rPr>
                          </m:ctrlPr>
                        </m:sSubSupPr>
                        <m:e>
                          <m:r>
                            <w:rPr>
                              <w:rFonts w:ascii="Cambria Math" w:hAnsi="Cambria Math"/>
                              <w:sz w:val="24"/>
                              <w:szCs w:val="24"/>
                              <w:lang w:val="en-US"/>
                            </w:rPr>
                            <m:t>CTUPSI</m:t>
                          </m:r>
                        </m:e>
                        <m:sub>
                          <m:r>
                            <w:rPr>
                              <w:rFonts w:ascii="Cambria Math" w:hAnsi="Cambria Math"/>
                              <w:sz w:val="24"/>
                              <w:szCs w:val="24"/>
                              <w:lang w:val="en-US"/>
                            </w:rPr>
                            <m:t>t</m:t>
                          </m:r>
                        </m:sub>
                        <m:sup>
                          <m:r>
                            <m:rPr>
                              <m:sty m:val="p"/>
                            </m:rPr>
                            <w:rPr>
                              <w:rFonts w:ascii="Cambria Math" w:hAnsi="Cambria Math"/>
                              <w:sz w:val="24"/>
                              <w:szCs w:val="24"/>
                              <w:lang w:val="en-US"/>
                            </w:rPr>
                            <m:t xml:space="preserve"> </m:t>
                          </m:r>
                        </m:sup>
                      </m:sSubSup>
                    </m:num>
                    <m:den>
                      <m:sSubSup>
                        <m:sSubSupPr>
                          <m:ctrlPr>
                            <w:rPr>
                              <w:rFonts w:ascii="Cambria Math" w:hAnsi="Cambria Math"/>
                              <w:sz w:val="24"/>
                              <w:szCs w:val="24"/>
                              <w:lang w:val="en-US"/>
                            </w:rPr>
                          </m:ctrlPr>
                        </m:sSubSupPr>
                        <m:e>
                          <m:r>
                            <w:rPr>
                              <w:rFonts w:ascii="Cambria Math" w:hAnsi="Cambria Math"/>
                              <w:sz w:val="24"/>
                              <w:szCs w:val="24"/>
                              <w:lang w:val="en-US"/>
                            </w:rPr>
                            <m:t>CTUPS</m:t>
                          </m:r>
                        </m:e>
                        <m:sub>
                          <m:r>
                            <w:rPr>
                              <w:rFonts w:ascii="Cambria Math" w:hAnsi="Cambria Math"/>
                              <w:sz w:val="24"/>
                              <w:szCs w:val="24"/>
                              <w:lang w:val="en-US"/>
                            </w:rPr>
                            <m:t>t</m:t>
                          </m:r>
                        </m:sub>
                        <m:sup>
                          <m:r>
                            <m:rPr>
                              <m:sty m:val="p"/>
                            </m:rPr>
                            <w:rPr>
                              <w:rFonts w:ascii="Cambria Math" w:hAnsi="Cambria Math"/>
                              <w:sz w:val="24"/>
                              <w:szCs w:val="24"/>
                              <w:lang w:val="en-US"/>
                            </w:rPr>
                            <m:t xml:space="preserve"> </m:t>
                          </m:r>
                        </m:sup>
                      </m:sSubSup>
                    </m:den>
                  </m:f>
                </m:e>
              </m:d>
              <m:r>
                <m:rPr>
                  <m:sty m:val="p"/>
                </m:rPr>
                <w:rPr>
                  <w:rFonts w:ascii="Cambria Math" w:hAnsi="Cambria Math"/>
                  <w:sz w:val="24"/>
                  <w:szCs w:val="24"/>
                  <w:lang w:val="en-US"/>
                </w:rPr>
                <m:t>100%=</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CTUPSE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CTUPS</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412C06">
              <w:rPr>
                <w:rFonts w:ascii="Arial" w:eastAsiaTheme="minorEastAsia" w:hAnsi="Arial"/>
                <w:lang w:val="en-US"/>
              </w:rPr>
              <w:t>...</w:t>
            </w:r>
            <w:r w:rsidR="002D244C" w:rsidRPr="002D244C">
              <w:rPr>
                <w:rFonts w:ascii="Arial" w:hAnsi="Arial"/>
                <w:sz w:val="20"/>
                <w:szCs w:val="20"/>
                <w:lang w:val="en-US"/>
              </w:rPr>
              <w:t xml:space="preserve"> </w:t>
            </w:r>
            <w:r w:rsidR="002D244C" w:rsidRPr="002D244C">
              <w:rPr>
                <w:rFonts w:ascii="Arial" w:hAnsi="Arial"/>
                <w:sz w:val="20"/>
                <w:szCs w:val="20"/>
              </w:rPr>
              <w:t>(1)</w:t>
            </w:r>
          </w:p>
          <w:p w14:paraId="4B7EB5E7" w14:textId="77777777" w:rsidR="002D244C" w:rsidRPr="002D244C" w:rsidRDefault="002D244C" w:rsidP="002D244C">
            <w:pPr>
              <w:contextualSpacing/>
              <w:jc w:val="center"/>
              <w:rPr>
                <w:rFonts w:ascii="Arial" w:hAnsi="Arial"/>
                <w:sz w:val="20"/>
                <w:szCs w:val="20"/>
              </w:rPr>
            </w:pPr>
          </w:p>
          <w:p w14:paraId="4092359D" w14:textId="5F4A36E5" w:rsidR="00412C06" w:rsidRPr="002D244C" w:rsidRDefault="00412C06" w:rsidP="00412C06">
            <w:pPr>
              <w:spacing w:before="120" w:after="120"/>
              <w:jc w:val="both"/>
              <w:rPr>
                <w:rFonts w:ascii="Arial" w:hAnsi="Arial"/>
                <w:sz w:val="20"/>
                <w:szCs w:val="20"/>
              </w:rPr>
            </w:pPr>
            <w:r w:rsidRPr="002D244C">
              <w:rPr>
                <w:rFonts w:ascii="Arial" w:hAnsi="Arial"/>
                <w:sz w:val="20"/>
                <w:szCs w:val="20"/>
              </w:rPr>
              <w:t>Fórmulas para calcular la cantidad</w:t>
            </w:r>
            <w:r w:rsidR="008137E9">
              <w:rPr>
                <w:rFonts w:ascii="Arial" w:hAnsi="Arial"/>
                <w:sz w:val="20"/>
                <w:szCs w:val="20"/>
              </w:rPr>
              <w:t xml:space="preserve"> </w:t>
            </w:r>
            <w:r w:rsidRPr="002D244C">
              <w:rPr>
                <w:rFonts w:ascii="Arial" w:hAnsi="Arial"/>
                <w:sz w:val="20"/>
                <w:szCs w:val="20"/>
              </w:rPr>
              <w:t>de unidades productoras</w:t>
            </w:r>
            <w:r w:rsidR="008137E9">
              <w:rPr>
                <w:rFonts w:ascii="Arial" w:hAnsi="Arial"/>
                <w:sz w:val="20"/>
                <w:szCs w:val="20"/>
              </w:rPr>
              <w:t xml:space="preserve"> según sus caracter</w:t>
            </w:r>
            <w:r w:rsidR="00CC0241">
              <w:rPr>
                <w:rFonts w:ascii="Arial" w:hAnsi="Arial"/>
                <w:sz w:val="20"/>
                <w:szCs w:val="20"/>
              </w:rPr>
              <w:t>í</w:t>
            </w:r>
            <w:r w:rsidR="008137E9">
              <w:rPr>
                <w:rFonts w:ascii="Arial" w:hAnsi="Arial"/>
                <w:sz w:val="20"/>
                <w:szCs w:val="20"/>
              </w:rPr>
              <w:t>sticas</w:t>
            </w:r>
            <w:r w:rsidRPr="002D244C">
              <w:rPr>
                <w:rFonts w:ascii="Arial" w:hAnsi="Arial"/>
                <w:sz w:val="20"/>
                <w:szCs w:val="20"/>
              </w:rPr>
              <w:t xml:space="preserve">: </w:t>
            </w:r>
          </w:p>
          <w:p w14:paraId="441FA146" w14:textId="77777777" w:rsidR="00412C06" w:rsidRPr="002D244C" w:rsidRDefault="00000000" w:rsidP="00412C0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412C06" w:rsidRPr="002D244C">
              <w:rPr>
                <w:rFonts w:ascii="Arial" w:hAnsi="Arial"/>
                <w:sz w:val="20"/>
                <w:szCs w:val="20"/>
              </w:rPr>
              <w:t>…… (2)</w:t>
            </w:r>
          </w:p>
          <w:p w14:paraId="0C7AE116" w14:textId="77777777" w:rsidR="00412C06" w:rsidRPr="002D244C" w:rsidRDefault="00412C06" w:rsidP="00412C06">
            <w:pPr>
              <w:spacing w:before="120" w:after="120"/>
              <w:contextualSpacing/>
              <w:jc w:val="both"/>
              <w:rPr>
                <w:rFonts w:ascii="Arial" w:hAnsi="Arial"/>
                <w:sz w:val="20"/>
                <w:szCs w:val="20"/>
              </w:rPr>
            </w:pPr>
          </w:p>
          <w:p w14:paraId="6119B69F" w14:textId="77777777" w:rsidR="00412C06" w:rsidRPr="002D244C" w:rsidRDefault="00000000" w:rsidP="00412C0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412C06" w:rsidRPr="002D244C">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327FE35B" w14:textId="77777777" w:rsidR="00412C06" w:rsidRPr="002D244C" w:rsidRDefault="00412C06" w:rsidP="00412C06">
            <w:pPr>
              <w:spacing w:before="120" w:after="120"/>
              <w:ind w:left="708"/>
              <w:contextualSpacing/>
              <w:jc w:val="both"/>
              <w:rPr>
                <w:rFonts w:ascii="Arial" w:hAnsi="Arial"/>
                <w:sz w:val="20"/>
                <w:szCs w:val="20"/>
              </w:rPr>
            </w:pPr>
          </w:p>
          <w:p w14:paraId="6F41DB9E" w14:textId="77777777" w:rsidR="00412C06" w:rsidRPr="002D244C" w:rsidRDefault="00000000" w:rsidP="00412C0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412C06" w:rsidRPr="002D244C">
              <w:rPr>
                <w:rFonts w:ascii="Arial" w:hAnsi="Arial"/>
                <w:sz w:val="20"/>
                <w:szCs w:val="20"/>
              </w:rPr>
              <w:t>……… (3)</w:t>
            </w:r>
          </w:p>
          <w:p w14:paraId="4C933A21" w14:textId="77777777" w:rsidR="00412C06" w:rsidRPr="002D244C" w:rsidRDefault="00412C06" w:rsidP="00412C06">
            <w:pPr>
              <w:spacing w:before="120" w:after="120"/>
              <w:contextualSpacing/>
              <w:jc w:val="both"/>
              <w:rPr>
                <w:rFonts w:ascii="Arial" w:eastAsiaTheme="minorEastAsia" w:hAnsi="Arial"/>
                <w:sz w:val="20"/>
                <w:szCs w:val="20"/>
              </w:rPr>
            </w:pPr>
          </w:p>
          <w:p w14:paraId="4729D609" w14:textId="77777777" w:rsidR="00412C06" w:rsidRPr="002D244C" w:rsidRDefault="00000000" w:rsidP="00412C0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412C06" w:rsidRPr="002D244C">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2B04ED24" w14:textId="77777777" w:rsidR="00412C06" w:rsidRPr="002D244C" w:rsidRDefault="00412C06" w:rsidP="00412C06">
            <w:pPr>
              <w:spacing w:before="120" w:after="120"/>
              <w:contextualSpacing/>
              <w:jc w:val="both"/>
              <w:rPr>
                <w:rFonts w:ascii="Arial" w:hAnsi="Arial"/>
                <w:sz w:val="20"/>
                <w:szCs w:val="20"/>
              </w:rPr>
            </w:pPr>
          </w:p>
          <w:p w14:paraId="770A37B2" w14:textId="77777777" w:rsidR="00412C06" w:rsidRPr="002D244C" w:rsidRDefault="00000000" w:rsidP="00412C0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412C06" w:rsidRPr="002D244C">
              <w:rPr>
                <w:rFonts w:ascii="Arial" w:hAnsi="Arial"/>
                <w:sz w:val="20"/>
                <w:szCs w:val="20"/>
              </w:rPr>
              <w:t>……… (4)</w:t>
            </w:r>
          </w:p>
          <w:p w14:paraId="5E079BA7" w14:textId="77777777" w:rsidR="00412C06" w:rsidRPr="002D244C" w:rsidRDefault="00412C06" w:rsidP="00412C06">
            <w:pPr>
              <w:spacing w:before="120" w:after="120"/>
              <w:contextualSpacing/>
              <w:jc w:val="both"/>
              <w:rPr>
                <w:rFonts w:ascii="Arial" w:eastAsiaTheme="minorEastAsia" w:hAnsi="Arial"/>
                <w:sz w:val="20"/>
                <w:szCs w:val="20"/>
              </w:rPr>
            </w:pPr>
          </w:p>
          <w:p w14:paraId="64EB3666" w14:textId="77777777" w:rsidR="00412C06" w:rsidRPr="002D244C" w:rsidRDefault="00000000" w:rsidP="00412C0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412C06" w:rsidRPr="002D244C">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5B88C28C" w14:textId="77777777" w:rsidR="00412C06" w:rsidRDefault="00412C06" w:rsidP="0017146E">
            <w:pPr>
              <w:spacing w:before="120" w:after="120"/>
              <w:contextualSpacing/>
              <w:jc w:val="both"/>
              <w:rPr>
                <w:rFonts w:ascii="Arial" w:eastAsiaTheme="minorEastAsia" w:hAnsi="Arial"/>
                <w:sz w:val="20"/>
                <w:szCs w:val="20"/>
              </w:rPr>
            </w:pPr>
          </w:p>
          <w:p w14:paraId="0126E2A1" w14:textId="77777777" w:rsidR="008137E9" w:rsidRDefault="008137E9" w:rsidP="002D244C">
            <w:pPr>
              <w:spacing w:before="120" w:after="120"/>
              <w:ind w:left="708"/>
              <w:contextualSpacing/>
              <w:jc w:val="both"/>
              <w:rPr>
                <w:rFonts w:ascii="Arial" w:eastAsiaTheme="minorEastAsia" w:hAnsi="Arial"/>
                <w:sz w:val="20"/>
                <w:szCs w:val="20"/>
              </w:rPr>
            </w:pPr>
          </w:p>
          <w:p w14:paraId="33D2FD8E" w14:textId="5DBA532D" w:rsidR="008137E9" w:rsidRPr="00E35A37" w:rsidRDefault="00000000" w:rsidP="008137E9">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CTUPSA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I</m:t>
                  </m:r>
                </m:sup>
              </m:sSubSup>
            </m:oMath>
            <w:r w:rsidR="008137E9">
              <w:rPr>
                <w:rFonts w:ascii="Arial" w:eastAsiaTheme="minorEastAsia" w:hAnsi="Arial"/>
                <w:sz w:val="24"/>
                <w:szCs w:val="24"/>
              </w:rPr>
              <w:t xml:space="preserve">  </w:t>
            </w:r>
            <w:r w:rsidR="008137E9" w:rsidRPr="00E35A37">
              <w:rPr>
                <w:rFonts w:ascii="Arial" w:hAnsi="Arial"/>
                <w:sz w:val="20"/>
                <w:szCs w:val="20"/>
              </w:rPr>
              <w:t>…… (</w:t>
            </w:r>
            <w:r w:rsidR="008137E9">
              <w:rPr>
                <w:rFonts w:ascii="Arial" w:hAnsi="Arial"/>
                <w:sz w:val="20"/>
                <w:szCs w:val="20"/>
              </w:rPr>
              <w:t>5</w:t>
            </w:r>
            <w:r w:rsidR="008137E9" w:rsidRPr="00E35A37">
              <w:rPr>
                <w:rFonts w:ascii="Arial" w:hAnsi="Arial"/>
                <w:sz w:val="20"/>
                <w:szCs w:val="20"/>
              </w:rPr>
              <w:t>)</w:t>
            </w:r>
          </w:p>
          <w:p w14:paraId="4055EDF4" w14:textId="77777777" w:rsidR="008137E9" w:rsidRDefault="008137E9" w:rsidP="008137E9">
            <w:pPr>
              <w:contextualSpacing/>
              <w:rPr>
                <w:rFonts w:ascii="Arial" w:hAnsi="Arial"/>
                <w:sz w:val="20"/>
                <w:szCs w:val="20"/>
              </w:rPr>
            </w:pPr>
          </w:p>
          <w:p w14:paraId="3B967A6A" w14:textId="77777777" w:rsidR="008137E9" w:rsidRDefault="008137E9" w:rsidP="008137E9">
            <w:pPr>
              <w:contextualSpacing/>
              <w:jc w:val="center"/>
              <w:rPr>
                <w:rFonts w:ascii="Arial" w:hAnsi="Arial"/>
                <w:sz w:val="20"/>
                <w:szCs w:val="20"/>
              </w:rPr>
            </w:pPr>
          </w:p>
          <w:p w14:paraId="16E30702" w14:textId="77777777" w:rsidR="008137E9" w:rsidRDefault="008137E9" w:rsidP="008137E9">
            <w:pPr>
              <w:contextualSpacing/>
              <w:rPr>
                <w:rFonts w:ascii="Arial" w:hAnsi="Arial"/>
                <w:sz w:val="20"/>
                <w:szCs w:val="20"/>
              </w:rPr>
            </w:pPr>
            <w:r>
              <w:rPr>
                <w:rFonts w:ascii="Arial" w:hAnsi="Arial"/>
                <w:sz w:val="20"/>
                <w:szCs w:val="20"/>
              </w:rPr>
              <w:t xml:space="preserve">Donde: </w:t>
            </w:r>
          </w:p>
          <w:p w14:paraId="21BAA8AE" w14:textId="77777777" w:rsidR="008137E9" w:rsidRDefault="008137E9" w:rsidP="0017146E">
            <w:pPr>
              <w:spacing w:before="120" w:after="120"/>
              <w:contextualSpacing/>
              <w:jc w:val="both"/>
              <w:rPr>
                <w:rFonts w:ascii="Arial" w:eastAsiaTheme="minorEastAsia" w:hAnsi="Arial"/>
                <w:sz w:val="20"/>
                <w:szCs w:val="20"/>
              </w:rPr>
            </w:pPr>
          </w:p>
          <w:p w14:paraId="5D83A01D" w14:textId="77777777" w:rsidR="008137E9" w:rsidRDefault="008137E9" w:rsidP="002D244C">
            <w:pPr>
              <w:spacing w:before="120" w:after="120"/>
              <w:ind w:left="708"/>
              <w:contextualSpacing/>
              <w:jc w:val="both"/>
              <w:rPr>
                <w:rFonts w:ascii="Arial" w:eastAsiaTheme="minorEastAsia" w:hAnsi="Arial"/>
                <w:sz w:val="20"/>
                <w:szCs w:val="20"/>
              </w:rPr>
            </w:pPr>
          </w:p>
          <w:p w14:paraId="571539F4" w14:textId="7EC4B60B" w:rsidR="002D244C" w:rsidRPr="002D244C" w:rsidRDefault="00000000" w:rsidP="002D244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total de unidades productoras con el Servicio de Educación </w:t>
            </w:r>
            <w:r w:rsidR="002D244C" w:rsidRPr="002D244C">
              <w:rPr>
                <w:rFonts w:ascii="Arial" w:hAnsi="Arial"/>
                <w:bCs/>
                <w:sz w:val="20"/>
                <w:szCs w:val="20"/>
                <w:lang w:val="es-MX"/>
              </w:rPr>
              <w:t>Secundaria</w:t>
            </w:r>
            <w:r w:rsidR="002D244C" w:rsidRPr="002D244C">
              <w:rPr>
                <w:rFonts w:ascii="Arial" w:hAnsi="Arial"/>
                <w:sz w:val="20"/>
                <w:szCs w:val="20"/>
              </w:rPr>
              <w:t xml:space="preserve"> identificadas en la Base de Datos de Monitoreo del Estado de las Unidades Productoras en el Marco del Invierte.pe en el tiempo t.</w:t>
            </w:r>
          </w:p>
          <w:p w14:paraId="645D3A14" w14:textId="77777777" w:rsidR="002D244C" w:rsidRPr="002D244C" w:rsidRDefault="002D244C" w:rsidP="002D244C">
            <w:pPr>
              <w:contextualSpacing/>
              <w:jc w:val="both"/>
              <w:rPr>
                <w:rFonts w:ascii="Arial" w:hAnsi="Arial"/>
                <w:sz w:val="20"/>
                <w:szCs w:val="20"/>
              </w:rPr>
            </w:pPr>
          </w:p>
          <w:p w14:paraId="6789F571" w14:textId="77777777" w:rsidR="002D244C" w:rsidRPr="002D244C" w:rsidRDefault="00000000" w:rsidP="002D244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NS</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total de unidades productoras con Servicio de Educación </w:t>
            </w:r>
            <w:r w:rsidR="002D244C" w:rsidRPr="002D244C">
              <w:rPr>
                <w:rFonts w:ascii="Arial" w:hAnsi="Arial"/>
                <w:bCs/>
                <w:sz w:val="20"/>
                <w:szCs w:val="20"/>
                <w:lang w:val="es-MX"/>
              </w:rPr>
              <w:t>Secundaria identificadas en la Base de Datos del Plan Nacional de Infraestructura Educativa, pero no</w:t>
            </w:r>
            <w:r w:rsidR="002D244C" w:rsidRPr="002D244C">
              <w:rPr>
                <w:rFonts w:ascii="Arial" w:hAnsi="Arial"/>
                <w:sz w:val="20"/>
                <w:szCs w:val="20"/>
              </w:rPr>
              <w:t xml:space="preserve"> incluidas en la Base de Datos de Monitoreo del Estado de las Unidades Productoras en el Marco del Invierte.pe en el tiempo t.</w:t>
            </w:r>
          </w:p>
          <w:p w14:paraId="3299EAA2" w14:textId="77777777" w:rsidR="002D244C" w:rsidRPr="002D244C" w:rsidRDefault="002D244C" w:rsidP="002D244C">
            <w:pPr>
              <w:spacing w:before="120" w:after="120"/>
              <w:ind w:left="696"/>
              <w:contextualSpacing/>
              <w:jc w:val="both"/>
              <w:rPr>
                <w:rFonts w:ascii="Arial" w:hAnsi="Arial"/>
                <w:sz w:val="20"/>
                <w:szCs w:val="20"/>
              </w:rPr>
            </w:pPr>
          </w:p>
          <w:p w14:paraId="55CB28FC" w14:textId="77777777" w:rsidR="002D244C" w:rsidRPr="002D244C" w:rsidRDefault="00000000" w:rsidP="002D244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NS</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total de unidades productoras con Servicio de Educación </w:t>
            </w:r>
            <w:r w:rsidR="002D244C" w:rsidRPr="002D244C">
              <w:rPr>
                <w:rFonts w:ascii="Arial" w:hAnsi="Arial"/>
                <w:bCs/>
                <w:sz w:val="20"/>
                <w:szCs w:val="20"/>
                <w:lang w:val="es-MX"/>
              </w:rPr>
              <w:t>Secundaria identificadas en la Base de Datos del Censo Educativo, pero no</w:t>
            </w:r>
            <w:r w:rsidR="002D244C" w:rsidRPr="002D244C">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6DF0271B" w14:textId="77777777" w:rsidR="002D244C" w:rsidRPr="002D244C" w:rsidRDefault="002D244C" w:rsidP="002D244C">
            <w:pPr>
              <w:spacing w:before="120" w:after="120"/>
              <w:ind w:left="696"/>
              <w:contextualSpacing/>
              <w:jc w:val="both"/>
              <w:rPr>
                <w:rFonts w:ascii="Arial" w:hAnsi="Arial"/>
                <w:sz w:val="20"/>
                <w:szCs w:val="20"/>
              </w:rPr>
            </w:pPr>
          </w:p>
          <w:p w14:paraId="311935AA" w14:textId="77777777" w:rsidR="002D244C" w:rsidRPr="002D244C" w:rsidRDefault="00000000" w:rsidP="002D244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CUPSI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de unidades productoras con el Se</w:t>
            </w:r>
            <w:proofErr w:type="spellStart"/>
            <w:r w:rsidR="002D244C" w:rsidRPr="002D244C">
              <w:rPr>
                <w:rFonts w:ascii="Arial" w:hAnsi="Arial"/>
                <w:sz w:val="20"/>
                <w:szCs w:val="20"/>
              </w:rPr>
              <w:t>rvicio</w:t>
            </w:r>
            <w:proofErr w:type="spellEnd"/>
            <w:r w:rsidR="002D244C" w:rsidRPr="002D244C">
              <w:rPr>
                <w:rFonts w:ascii="Arial" w:hAnsi="Arial"/>
                <w:sz w:val="20"/>
                <w:szCs w:val="20"/>
              </w:rPr>
              <w:t xml:space="preserve"> de Educación </w:t>
            </w:r>
            <w:r w:rsidR="002D244C" w:rsidRPr="002D244C">
              <w:rPr>
                <w:rFonts w:ascii="Arial" w:hAnsi="Arial"/>
                <w:bCs/>
                <w:sz w:val="20"/>
                <w:szCs w:val="20"/>
                <w:lang w:val="es-MX"/>
              </w:rPr>
              <w:t>Secundaria con capacidad instalada inadecuada</w:t>
            </w:r>
            <w:r w:rsidR="002D244C" w:rsidRPr="002D244C">
              <w:rPr>
                <w:rFonts w:ascii="Arial" w:hAnsi="Arial"/>
                <w:sz w:val="20"/>
                <w:szCs w:val="20"/>
              </w:rPr>
              <w:t xml:space="preserve"> identificadas en la Base de Datos de Monitoreo del Estado de las Unidades Productoras en el Marco del Invierte.pe en el tiempo t.</w:t>
            </w:r>
          </w:p>
          <w:p w14:paraId="2F2C822A" w14:textId="77777777" w:rsidR="002D244C" w:rsidRPr="002D244C" w:rsidRDefault="002D244C" w:rsidP="002D244C">
            <w:pPr>
              <w:spacing w:before="120" w:after="120"/>
              <w:ind w:left="696"/>
              <w:contextualSpacing/>
              <w:jc w:val="both"/>
              <w:rPr>
                <w:rFonts w:ascii="Arial" w:hAnsi="Arial"/>
                <w:sz w:val="20"/>
                <w:szCs w:val="20"/>
              </w:rPr>
            </w:pPr>
          </w:p>
          <w:p w14:paraId="598A6311" w14:textId="77777777" w:rsidR="002D244C" w:rsidRPr="002D244C" w:rsidRDefault="00000000" w:rsidP="002D244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CUPSI</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de unidades productoras con el Servicio de Educación </w:t>
            </w:r>
            <w:r w:rsidR="002D244C" w:rsidRPr="002D244C">
              <w:rPr>
                <w:rFonts w:ascii="Arial" w:hAnsi="Arial"/>
                <w:bCs/>
                <w:sz w:val="20"/>
                <w:szCs w:val="20"/>
                <w:lang w:val="es-MX"/>
              </w:rPr>
              <w:t>Secundaria con capacidad instalada inadecuada identificadas en la Base de</w:t>
            </w:r>
            <w:r w:rsidR="002D244C" w:rsidRPr="002D244C">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2D076CE7" w14:textId="77777777" w:rsidR="002D244C" w:rsidRPr="002D244C" w:rsidRDefault="002D244C" w:rsidP="002D244C">
            <w:pPr>
              <w:spacing w:before="120" w:after="120"/>
              <w:ind w:left="696"/>
              <w:contextualSpacing/>
              <w:jc w:val="both"/>
              <w:rPr>
                <w:rFonts w:ascii="Arial" w:hAnsi="Arial"/>
                <w:sz w:val="20"/>
                <w:szCs w:val="20"/>
              </w:rPr>
            </w:pPr>
          </w:p>
          <w:p w14:paraId="10E998B6" w14:textId="77777777" w:rsidR="002D244C" w:rsidRPr="002D244C" w:rsidRDefault="00000000" w:rsidP="002D244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CUPSI</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heme="minorEastAsia" w:hAnsi="Cambria Math"/>
                  <w:sz w:val="20"/>
                  <w:szCs w:val="20"/>
                </w:rPr>
                <m:t>:</m:t>
              </m:r>
            </m:oMath>
            <w:r w:rsidR="002D244C" w:rsidRPr="002D244C">
              <w:rPr>
                <w:rFonts w:ascii="Arial" w:hAnsi="Arial"/>
                <w:sz w:val="20"/>
                <w:szCs w:val="20"/>
              </w:rPr>
              <w:t xml:space="preserve"> Cantidad de unidades productoras con el servicio de Educación </w:t>
            </w:r>
            <w:r w:rsidR="002D244C" w:rsidRPr="002D244C">
              <w:rPr>
                <w:rFonts w:ascii="Arial" w:hAnsi="Arial"/>
                <w:bCs/>
                <w:sz w:val="20"/>
                <w:szCs w:val="20"/>
                <w:lang w:val="es-MX"/>
              </w:rPr>
              <w:t xml:space="preserve">Secundaria con capacidad instalada inadecuada identificadas en la Base de Datos del Censo Educativo, pero no incluidas en la Base de Datos de Monitoreo del </w:t>
            </w:r>
            <w:r w:rsidR="002D244C" w:rsidRPr="002D244C">
              <w:rPr>
                <w:rFonts w:ascii="Arial" w:hAnsi="Arial"/>
                <w:sz w:val="20"/>
                <w:szCs w:val="20"/>
              </w:rPr>
              <w:t xml:space="preserve">Plan Nacional de Infraestructura Educativa ni en la Base de Datos de Monitoreo del Estado de las Unidades Productoras en el Marco del Invierte.pe, en el tiempo t. </w:t>
            </w:r>
          </w:p>
          <w:p w14:paraId="6C9439D5" w14:textId="77777777" w:rsidR="002D244C" w:rsidRPr="002D244C" w:rsidRDefault="002D244C" w:rsidP="002D244C">
            <w:pPr>
              <w:spacing w:before="120" w:after="120"/>
              <w:ind w:left="696"/>
              <w:contextualSpacing/>
              <w:jc w:val="both"/>
              <w:rPr>
                <w:rFonts w:ascii="Arial" w:hAnsi="Arial"/>
                <w:sz w:val="20"/>
                <w:szCs w:val="20"/>
              </w:rPr>
            </w:pPr>
          </w:p>
          <w:p w14:paraId="0D7B97AB" w14:textId="77777777" w:rsidR="002D244C" w:rsidRPr="002D244C" w:rsidRDefault="00000000" w:rsidP="002D244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2D244C" w:rsidRPr="002D244C">
              <w:rPr>
                <w:rFonts w:ascii="Arial" w:hAnsi="Arial"/>
                <w:sz w:val="20"/>
                <w:szCs w:val="20"/>
              </w:rPr>
              <w:t xml:space="preserve"> Cantidad de unidades productoras con el servicio de Educación </w:t>
            </w:r>
            <w:r w:rsidR="002D244C" w:rsidRPr="002D244C">
              <w:rPr>
                <w:rFonts w:ascii="Arial" w:hAnsi="Arial"/>
                <w:bCs/>
                <w:sz w:val="20"/>
                <w:szCs w:val="20"/>
                <w:lang w:val="es-MX"/>
              </w:rPr>
              <w:t>Secundaria con capacidad instalada inadecuada</w:t>
            </w:r>
            <w:r w:rsidR="002D244C" w:rsidRPr="002D244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59763530" w14:textId="77777777" w:rsidR="002D244C" w:rsidRPr="002D244C" w:rsidRDefault="002D244C" w:rsidP="002D244C">
            <w:pPr>
              <w:spacing w:before="120" w:after="120"/>
              <w:ind w:left="708"/>
              <w:contextualSpacing/>
              <w:jc w:val="both"/>
              <w:rPr>
                <w:rFonts w:ascii="Arial" w:hAnsi="Arial"/>
                <w:sz w:val="20"/>
                <w:szCs w:val="20"/>
              </w:rPr>
            </w:pPr>
          </w:p>
          <w:p w14:paraId="26E369E0" w14:textId="77777777" w:rsidR="002D244C" w:rsidRDefault="00000000" w:rsidP="002D244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2D244C" w:rsidRPr="002D244C">
              <w:rPr>
                <w:rFonts w:ascii="Arial" w:hAnsi="Arial"/>
                <w:sz w:val="20"/>
                <w:szCs w:val="20"/>
              </w:rPr>
              <w:t xml:space="preserve"> Cantidad total de unidades productoras con el servicio de Educación </w:t>
            </w:r>
            <w:r w:rsidR="002D244C" w:rsidRPr="002D244C">
              <w:rPr>
                <w:rFonts w:ascii="Arial" w:hAnsi="Arial"/>
                <w:bCs/>
                <w:sz w:val="20"/>
                <w:szCs w:val="20"/>
                <w:lang w:val="es-MX"/>
              </w:rPr>
              <w:t>Secundaria</w:t>
            </w:r>
            <w:r w:rsidR="002D244C" w:rsidRPr="002D244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7513C3A" w14:textId="77777777" w:rsidR="00874E1D" w:rsidRDefault="00874E1D" w:rsidP="002D244C">
            <w:pPr>
              <w:spacing w:before="120" w:after="120"/>
              <w:ind w:left="708"/>
              <w:contextualSpacing/>
              <w:jc w:val="both"/>
              <w:rPr>
                <w:rFonts w:ascii="Arial" w:hAnsi="Arial"/>
                <w:sz w:val="20"/>
                <w:szCs w:val="20"/>
              </w:rPr>
            </w:pPr>
          </w:p>
          <w:p w14:paraId="1D35928E" w14:textId="741CDA09" w:rsidR="00874E1D" w:rsidRDefault="00000000" w:rsidP="002D244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m:t>
                  </m:r>
                </m:e>
                <m:sub>
                  <m:r>
                    <w:rPr>
                      <w:rFonts w:ascii="Cambria Math" w:hAnsi="Cambria Math"/>
                      <w:sz w:val="20"/>
                      <w:szCs w:val="20"/>
                    </w:rPr>
                    <m:t>t</m:t>
                  </m:r>
                </m:sub>
                <m:sup>
                  <m:r>
                    <w:rPr>
                      <w:rFonts w:ascii="Cambria Math" w:hAnsi="Cambria Math"/>
                      <w:sz w:val="20"/>
                      <w:szCs w:val="20"/>
                    </w:rPr>
                    <m:t xml:space="preserve"> </m:t>
                  </m:r>
                </m:sup>
              </m:sSubSup>
            </m:oMath>
            <w:r w:rsidR="00874E1D" w:rsidRPr="0017146E">
              <w:rPr>
                <w:rFonts w:ascii="Cambria Math" w:hAnsi="Cambria Math"/>
                <w:i/>
                <w:sz w:val="20"/>
                <w:szCs w:val="20"/>
              </w:rPr>
              <w:t xml:space="preserve">: </w:t>
            </w:r>
            <w:r w:rsidR="00874E1D" w:rsidRPr="00874E1D">
              <w:rPr>
                <w:rFonts w:ascii="Arial" w:hAnsi="Arial"/>
                <w:sz w:val="20"/>
                <w:szCs w:val="20"/>
              </w:rPr>
              <w:t>Cantidad de unidades productoras con el servicio de Educación Secundaria con capacidad instalada adecuada identificadas en la Base de Datos de Monitoreo del Estado de las Unidades Productoras en el Marco del Invierte.pe, del Plan Nacional de Infraestructura Educativa, y del Censo Educativo, en el tiempo t.</w:t>
            </w:r>
          </w:p>
          <w:p w14:paraId="3DE51B31" w14:textId="77777777" w:rsidR="00874E1D" w:rsidRDefault="00874E1D" w:rsidP="002D244C">
            <w:pPr>
              <w:spacing w:before="120" w:after="120"/>
              <w:ind w:left="708"/>
              <w:contextualSpacing/>
              <w:jc w:val="both"/>
              <w:rPr>
                <w:rFonts w:ascii="Arial" w:hAnsi="Arial"/>
                <w:sz w:val="20"/>
                <w:szCs w:val="20"/>
              </w:rPr>
            </w:pPr>
          </w:p>
          <w:p w14:paraId="5A8E5B4E" w14:textId="63EA7468" w:rsidR="008137E9" w:rsidRDefault="00000000" w:rsidP="008137E9">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CTUPSE</m:t>
                  </m:r>
                </m:e>
                <m:sub>
                  <m:r>
                    <w:rPr>
                      <w:rFonts w:ascii="Cambria Math" w:hAnsi="Cambria Math"/>
                      <w:sz w:val="20"/>
                      <w:szCs w:val="20"/>
                    </w:rPr>
                    <m:t>t</m:t>
                  </m:r>
                </m:sub>
                <m:sup>
                  <m:r>
                    <w:rPr>
                      <w:rFonts w:ascii="Cambria Math" w:hAnsi="Cambria Math"/>
                      <w:sz w:val="20"/>
                      <w:szCs w:val="20"/>
                    </w:rPr>
                    <m:t xml:space="preserve"> </m:t>
                  </m:r>
                </m:sup>
              </m:sSubSup>
            </m:oMath>
            <w:r w:rsidR="008137E9" w:rsidRPr="00642451">
              <w:rPr>
                <w:rFonts w:ascii="Cambria Math" w:hAnsi="Cambria Math"/>
                <w:i/>
                <w:sz w:val="20"/>
                <w:szCs w:val="20"/>
              </w:rPr>
              <w:t xml:space="preserve">: </w:t>
            </w:r>
            <w:r w:rsidR="008137E9" w:rsidRPr="00874E1D">
              <w:rPr>
                <w:rFonts w:ascii="Arial" w:hAnsi="Arial"/>
                <w:sz w:val="20"/>
                <w:szCs w:val="20"/>
              </w:rPr>
              <w:t xml:space="preserve">Cantidad de unidades productoras con el servicio de Educación Secundaria con capacidad instalada </w:t>
            </w:r>
            <w:r w:rsidR="008137E9">
              <w:rPr>
                <w:rFonts w:ascii="Arial" w:hAnsi="Arial"/>
                <w:sz w:val="20"/>
                <w:szCs w:val="20"/>
              </w:rPr>
              <w:t>existente</w:t>
            </w:r>
            <w:r w:rsidR="008137E9" w:rsidRPr="00874E1D">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74A54F50" w14:textId="77777777" w:rsidR="008137E9" w:rsidRDefault="008137E9" w:rsidP="002D244C">
            <w:pPr>
              <w:spacing w:before="120" w:after="120"/>
              <w:ind w:left="708"/>
              <w:contextualSpacing/>
              <w:jc w:val="both"/>
              <w:rPr>
                <w:rFonts w:ascii="Arial" w:hAnsi="Arial"/>
                <w:sz w:val="20"/>
                <w:szCs w:val="20"/>
              </w:rPr>
            </w:pPr>
          </w:p>
          <w:p w14:paraId="14DBEA6F" w14:textId="6BB5AD86" w:rsidR="008137E9" w:rsidRDefault="00000000" w:rsidP="008137E9">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CTUPSN</m:t>
                  </m:r>
                </m:e>
                <m:sub>
                  <m:r>
                    <w:rPr>
                      <w:rFonts w:ascii="Cambria Math" w:hAnsi="Cambria Math"/>
                      <w:sz w:val="20"/>
                      <w:szCs w:val="20"/>
                    </w:rPr>
                    <m:t>t</m:t>
                  </m:r>
                </m:sub>
                <m:sup>
                  <m:r>
                    <w:rPr>
                      <w:rFonts w:ascii="Cambria Math" w:hAnsi="Cambria Math"/>
                      <w:sz w:val="20"/>
                      <w:szCs w:val="20"/>
                    </w:rPr>
                    <m:t xml:space="preserve"> </m:t>
                  </m:r>
                </m:sup>
              </m:sSubSup>
            </m:oMath>
            <w:r w:rsidR="008137E9" w:rsidRPr="00642451">
              <w:rPr>
                <w:rFonts w:ascii="Cambria Math" w:hAnsi="Cambria Math"/>
                <w:i/>
                <w:sz w:val="20"/>
                <w:szCs w:val="20"/>
              </w:rPr>
              <w:t xml:space="preserve">: </w:t>
            </w:r>
            <w:r w:rsidR="008137E9" w:rsidRPr="00874E1D">
              <w:rPr>
                <w:rFonts w:ascii="Arial" w:hAnsi="Arial"/>
                <w:sz w:val="20"/>
                <w:szCs w:val="20"/>
              </w:rPr>
              <w:t>Cantidad de unidades productoras con el servicio de Educación Secundaria con capacidad instalada</w:t>
            </w:r>
            <w:r w:rsidR="008137E9">
              <w:rPr>
                <w:rFonts w:ascii="Arial" w:hAnsi="Arial"/>
                <w:sz w:val="20"/>
                <w:szCs w:val="20"/>
              </w:rPr>
              <w:t xml:space="preserve"> no</w:t>
            </w:r>
            <w:r w:rsidR="008137E9" w:rsidRPr="00874E1D">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182664B4" w14:textId="77777777" w:rsidR="008137E9" w:rsidRPr="00874E1D" w:rsidRDefault="008137E9" w:rsidP="002D244C">
            <w:pPr>
              <w:spacing w:before="120" w:after="120"/>
              <w:ind w:left="708"/>
              <w:contextualSpacing/>
              <w:jc w:val="both"/>
              <w:rPr>
                <w:rFonts w:ascii="Arial" w:hAnsi="Arial"/>
                <w:sz w:val="20"/>
                <w:szCs w:val="20"/>
              </w:rPr>
            </w:pPr>
          </w:p>
          <w:p w14:paraId="7D617E61" w14:textId="77777777" w:rsidR="002D244C" w:rsidRPr="002D244C" w:rsidRDefault="002D244C" w:rsidP="002D244C">
            <w:pPr>
              <w:spacing w:before="120" w:after="120"/>
              <w:ind w:left="696"/>
              <w:contextualSpacing/>
              <w:jc w:val="both"/>
              <w:rPr>
                <w:rFonts w:ascii="Arial" w:hAnsi="Arial"/>
                <w:sz w:val="20"/>
                <w:szCs w:val="20"/>
              </w:rPr>
            </w:pPr>
          </w:p>
          <w:p w14:paraId="3B36C1BA" w14:textId="77777777" w:rsidR="00246044" w:rsidRPr="002D244C" w:rsidRDefault="00246044" w:rsidP="0017146E">
            <w:pPr>
              <w:spacing w:before="120" w:after="120"/>
              <w:ind w:left="708"/>
              <w:contextualSpacing/>
              <w:jc w:val="both"/>
              <w:rPr>
                <w:rFonts w:ascii="Arial" w:hAnsi="Arial" w:cs="Arial"/>
                <w:b/>
                <w:bCs/>
                <w:szCs w:val="20"/>
              </w:rPr>
            </w:pPr>
          </w:p>
        </w:tc>
      </w:tr>
      <w:tr w:rsidR="00A6796B" w:rsidRPr="00A6796B"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A6796B" w:rsidRDefault="002C6B38" w:rsidP="002C6B38">
            <w:pPr>
              <w:rPr>
                <w:rFonts w:ascii="Arial" w:hAnsi="Arial" w:cs="Arial"/>
                <w:sz w:val="18"/>
                <w:szCs w:val="20"/>
              </w:rPr>
            </w:pPr>
            <w:r w:rsidRPr="00A6796B">
              <w:rPr>
                <w:rFonts w:ascii="Arial" w:hAnsi="Arial" w:cs="Arial"/>
                <w:b/>
                <w:bCs/>
                <w:szCs w:val="20"/>
              </w:rPr>
              <w:lastRenderedPageBreak/>
              <w:t>Precisiones</w:t>
            </w:r>
            <w:r w:rsidRPr="00A6796B">
              <w:rPr>
                <w:rFonts w:ascii="Arial" w:hAnsi="Arial" w:cs="Arial"/>
                <w:b/>
                <w:bCs/>
                <w:sz w:val="20"/>
                <w:szCs w:val="20"/>
              </w:rPr>
              <w:t xml:space="preserve"> </w:t>
            </w:r>
            <w:r w:rsidRPr="00A6796B">
              <w:rPr>
                <w:rFonts w:ascii="Arial" w:hAnsi="Arial" w:cs="Arial"/>
                <w:b/>
                <w:bCs/>
                <w:szCs w:val="20"/>
              </w:rPr>
              <w:t>Técnicas</w:t>
            </w:r>
          </w:p>
        </w:tc>
      </w:tr>
      <w:tr w:rsidR="009E6B4A" w:rsidRPr="009E6B4A"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4E55F9" w:rsidRDefault="00A6796B" w:rsidP="00A6796B">
            <w:pPr>
              <w:autoSpaceDE w:val="0"/>
              <w:autoSpaceDN w:val="0"/>
              <w:contextualSpacing/>
              <w:jc w:val="both"/>
              <w:rPr>
                <w:rFonts w:ascii="Arial" w:hAnsi="Arial"/>
                <w:sz w:val="20"/>
                <w:szCs w:val="20"/>
              </w:rPr>
            </w:pPr>
          </w:p>
          <w:p w14:paraId="0E44AC11" w14:textId="5CEDD4B0" w:rsidR="00A6796B" w:rsidRPr="00A6796B" w:rsidRDefault="00A6796B" w:rsidP="00A6796B">
            <w:pPr>
              <w:pStyle w:val="Prrafodelista"/>
              <w:numPr>
                <w:ilvl w:val="0"/>
                <w:numId w:val="2"/>
              </w:numPr>
              <w:jc w:val="both"/>
              <w:rPr>
                <w:rFonts w:ascii="Arial" w:hAnsi="Arial"/>
                <w:sz w:val="20"/>
                <w:szCs w:val="20"/>
              </w:rPr>
            </w:pPr>
            <w:r w:rsidRPr="00A6796B">
              <w:rPr>
                <w:rFonts w:ascii="Arial" w:hAnsi="Arial"/>
                <w:sz w:val="20"/>
                <w:szCs w:val="20"/>
              </w:rPr>
              <w:t>El diagnóstico o tipo de intervención que puede recibir un local educativo, UP o ambiente, según las fuentes de información, se detalla a continuación:</w:t>
            </w:r>
          </w:p>
          <w:p w14:paraId="7B89AFF6" w14:textId="77777777" w:rsidR="00A6796B" w:rsidRDefault="00A6796B" w:rsidP="00A6796B">
            <w:pPr>
              <w:jc w:val="both"/>
              <w:rPr>
                <w:rFonts w:ascii="Arial" w:hAnsi="Arial"/>
                <w:sz w:val="20"/>
                <w:szCs w:val="20"/>
              </w:rPr>
            </w:pPr>
          </w:p>
          <w:p w14:paraId="6C305B83" w14:textId="77777777" w:rsidR="00A6796B" w:rsidRDefault="00A6796B" w:rsidP="00A6796B">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5"/>
            </w:r>
            <w:r>
              <w:rPr>
                <w:rFonts w:ascii="Arial" w:hAnsi="Arial"/>
                <w:sz w:val="20"/>
                <w:szCs w:val="20"/>
              </w:rPr>
              <w:t>, si la inversión cumple de manera simultánea con todas las condiciones asociadas al criterio, la estimación del estado de la UP puede ser adecuado o inadecuado.</w:t>
            </w:r>
          </w:p>
          <w:p w14:paraId="1633A734" w14:textId="77777777" w:rsidR="00A6796B" w:rsidRDefault="00A6796B" w:rsidP="00A6796B">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A6796B" w:rsidRPr="00393CAF" w14:paraId="4669F266" w14:textId="77777777" w:rsidTr="0090469F">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56A23E0C" w14:textId="77777777" w:rsidR="00A6796B" w:rsidRPr="0039057B" w:rsidRDefault="00A6796B" w:rsidP="00A6796B">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29332921" w14:textId="77777777" w:rsidR="00A6796B" w:rsidRPr="0039057B" w:rsidRDefault="00A6796B" w:rsidP="00A6796B">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2ABD9781" w14:textId="77777777" w:rsidR="00A6796B" w:rsidRPr="0039057B" w:rsidRDefault="00A6796B" w:rsidP="00A6796B">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Estado de la Unidad Productora</w:t>
                  </w:r>
                  <w:r>
                    <w:rPr>
                      <w:rFonts w:ascii="Arial" w:eastAsia="Times New Roman" w:hAnsi="Arial"/>
                      <w:b/>
                      <w:bCs/>
                      <w:color w:val="000000"/>
                      <w:sz w:val="16"/>
                      <w:lang w:eastAsia="es-PE"/>
                    </w:rPr>
                    <w:t xml:space="preserve"> asociada a la inversión analizada</w:t>
                  </w:r>
                </w:p>
              </w:tc>
            </w:tr>
            <w:tr w:rsidR="00A6796B" w:rsidRPr="00393CAF" w14:paraId="29E802E5" w14:textId="77777777" w:rsidTr="0090469F">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69851848"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32016B35"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7B7A9D0D" w14:textId="77777777" w:rsidR="00A6796B" w:rsidRPr="0039057B" w:rsidRDefault="00A6796B" w:rsidP="00A6796B">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Inadecuado</w:t>
                  </w:r>
                </w:p>
              </w:tc>
            </w:tr>
            <w:tr w:rsidR="00A6796B" w:rsidRPr="00393CAF" w14:paraId="41A39381" w14:textId="77777777" w:rsidTr="0090469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44C3D8BE" w14:textId="77777777" w:rsidR="00A6796B" w:rsidRPr="0039057B" w:rsidRDefault="00A6796B" w:rsidP="00A6796B">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85ECACA"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57967216" w14:textId="77777777" w:rsidR="00A6796B" w:rsidRPr="0039057B" w:rsidRDefault="00A6796B" w:rsidP="00A6796B">
                  <w:pPr>
                    <w:spacing w:after="0" w:line="240" w:lineRule="auto"/>
                    <w:rPr>
                      <w:rFonts w:ascii="Arial" w:eastAsia="Times New Roman" w:hAnsi="Arial"/>
                      <w:color w:val="000000"/>
                      <w:sz w:val="16"/>
                      <w:lang w:eastAsia="es-PE"/>
                    </w:rPr>
                  </w:pPr>
                </w:p>
              </w:tc>
            </w:tr>
            <w:tr w:rsidR="00A6796B" w:rsidRPr="00393CAF" w14:paraId="27A4A7AD" w14:textId="77777777" w:rsidTr="0090469F">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3B5E89B7"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34D600C1"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0E7CCB3" w14:textId="77777777" w:rsidR="00A6796B" w:rsidRPr="0039057B" w:rsidRDefault="00A6796B" w:rsidP="00A6796B">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Adecuado</w:t>
                  </w:r>
                </w:p>
              </w:tc>
            </w:tr>
            <w:tr w:rsidR="00A6796B" w:rsidRPr="00393CAF" w14:paraId="2D1EAD4B" w14:textId="77777777" w:rsidTr="0090469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72C1579C" w14:textId="77777777" w:rsidR="00A6796B" w:rsidRPr="0039057B" w:rsidRDefault="00A6796B" w:rsidP="00A6796B">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7E4AEB9C"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1B3DCE43" w14:textId="77777777" w:rsidR="00A6796B" w:rsidRPr="0039057B" w:rsidRDefault="00A6796B" w:rsidP="00A6796B">
                  <w:pPr>
                    <w:spacing w:after="0" w:line="240" w:lineRule="auto"/>
                    <w:rPr>
                      <w:rFonts w:ascii="Arial" w:eastAsia="Times New Roman" w:hAnsi="Arial"/>
                      <w:color w:val="000000"/>
                      <w:sz w:val="16"/>
                      <w:lang w:eastAsia="es-PE"/>
                    </w:rPr>
                  </w:pPr>
                </w:p>
              </w:tc>
            </w:tr>
            <w:tr w:rsidR="00A6796B" w:rsidRPr="00393CAF" w14:paraId="0C021CCA" w14:textId="77777777" w:rsidTr="0090469F">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CEADEA1" w14:textId="77777777" w:rsidR="00A6796B" w:rsidRPr="0039057B" w:rsidRDefault="00A6796B" w:rsidP="00A6796B">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96B8BCC" w14:textId="77777777" w:rsidR="00A6796B" w:rsidRPr="0039057B" w:rsidRDefault="00A6796B" w:rsidP="00A6796B">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3:</w:t>
                  </w:r>
                  <w:r w:rsidRPr="0039057B">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1DDEEBA0" w14:textId="77777777" w:rsidR="00A6796B" w:rsidRPr="0039057B" w:rsidRDefault="00A6796B" w:rsidP="00A6796B">
                  <w:pPr>
                    <w:spacing w:after="0" w:line="240" w:lineRule="auto"/>
                    <w:rPr>
                      <w:rFonts w:ascii="Arial" w:eastAsia="Times New Roman" w:hAnsi="Arial"/>
                      <w:color w:val="000000"/>
                      <w:sz w:val="16"/>
                      <w:lang w:eastAsia="es-PE"/>
                    </w:rPr>
                  </w:pPr>
                </w:p>
              </w:tc>
            </w:tr>
          </w:tbl>
          <w:p w14:paraId="481725AF" w14:textId="77777777" w:rsidR="00A6796B" w:rsidRPr="0039057B" w:rsidRDefault="00A6796B" w:rsidP="00A6796B">
            <w:pPr>
              <w:jc w:val="both"/>
              <w:rPr>
                <w:rFonts w:ascii="Arial" w:hAnsi="Arial"/>
                <w:sz w:val="20"/>
                <w:szCs w:val="20"/>
              </w:rPr>
            </w:pPr>
          </w:p>
          <w:p w14:paraId="3B0D7C2C" w14:textId="77777777" w:rsidR="00A6796B" w:rsidRPr="00EC1795" w:rsidRDefault="00A6796B" w:rsidP="00A6796B">
            <w:pPr>
              <w:jc w:val="both"/>
              <w:rPr>
                <w:rFonts w:ascii="Arial" w:hAnsi="Arial"/>
                <w:sz w:val="20"/>
                <w:szCs w:val="20"/>
              </w:rPr>
            </w:pPr>
          </w:p>
          <w:p w14:paraId="0F617669" w14:textId="77777777" w:rsidR="00A6796B" w:rsidRPr="00EC1795" w:rsidRDefault="00A6796B" w:rsidP="00A6796B">
            <w:pPr>
              <w:pStyle w:val="Prrafodelista"/>
              <w:numPr>
                <w:ilvl w:val="1"/>
                <w:numId w:val="2"/>
              </w:numPr>
              <w:jc w:val="both"/>
              <w:rPr>
                <w:rFonts w:ascii="Arial" w:hAnsi="Arial"/>
                <w:sz w:val="20"/>
                <w:szCs w:val="20"/>
              </w:rPr>
            </w:pPr>
            <w:r w:rsidRPr="004E55F9">
              <w:rPr>
                <w:rFonts w:ascii="Arial" w:hAnsi="Arial" w:cs="Arial"/>
                <w:sz w:val="20"/>
                <w:szCs w:val="20"/>
              </w:rPr>
              <w:t xml:space="preserve">Según </w:t>
            </w:r>
            <w:r>
              <w:rPr>
                <w:rFonts w:ascii="Arial" w:hAnsi="Arial" w:cs="Arial"/>
                <w:sz w:val="20"/>
                <w:szCs w:val="20"/>
              </w:rPr>
              <w:t>la base de datos de monitoreo d</w:t>
            </w:r>
            <w:r w:rsidRPr="004E55F9">
              <w:rPr>
                <w:rFonts w:ascii="Arial" w:hAnsi="Arial" w:cs="Arial"/>
                <w:sz w:val="20"/>
                <w:szCs w:val="20"/>
              </w:rPr>
              <w:t>el Plan Nacional de I</w:t>
            </w:r>
            <w:r>
              <w:rPr>
                <w:rFonts w:ascii="Arial" w:hAnsi="Arial" w:cs="Arial"/>
                <w:sz w:val="20"/>
                <w:szCs w:val="20"/>
              </w:rPr>
              <w:t>nfraestructura Educativa (PNIE)</w:t>
            </w:r>
          </w:p>
          <w:p w14:paraId="29084621" w14:textId="77777777" w:rsidR="00A6796B" w:rsidRDefault="00A6796B" w:rsidP="00A6796B">
            <w:pPr>
              <w:pStyle w:val="Prrafodelista"/>
              <w:ind w:left="1440"/>
              <w:jc w:val="both"/>
              <w:rPr>
                <w:rFonts w:ascii="Arial" w:hAnsi="Arial" w:cs="Arial"/>
                <w:sz w:val="20"/>
                <w:szCs w:val="20"/>
              </w:rPr>
            </w:pPr>
          </w:p>
          <w:p w14:paraId="3D772B5E" w14:textId="77777777" w:rsidR="00A6796B" w:rsidRPr="00993ABF" w:rsidRDefault="00A6796B" w:rsidP="00A6796B">
            <w:pPr>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A6796B" w:rsidRPr="00A646D4" w14:paraId="4BE2859B" w14:textId="77777777" w:rsidTr="00CA12D4">
              <w:trPr>
                <w:trHeight w:val="283"/>
                <w:jc w:val="center"/>
              </w:trPr>
              <w:tc>
                <w:tcPr>
                  <w:tcW w:w="5127" w:type="dxa"/>
                  <w:shd w:val="clear" w:color="000000" w:fill="BFBFBF"/>
                  <w:vAlign w:val="center"/>
                  <w:hideMark/>
                </w:tcPr>
                <w:p w14:paraId="1FC784A6" w14:textId="77777777" w:rsidR="00A6796B" w:rsidRPr="00A646D4" w:rsidRDefault="00A6796B" w:rsidP="00A6796B">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Diagnóstico o tipo de Intervención por Local educativo</w:t>
                  </w:r>
                  <w:r>
                    <w:rPr>
                      <w:rFonts w:ascii="Arial" w:eastAsia="Times New Roman" w:hAnsi="Arial"/>
                      <w:b/>
                      <w:bCs/>
                      <w:sz w:val="16"/>
                      <w:szCs w:val="20"/>
                      <w:lang w:eastAsia="es-PE"/>
                    </w:rPr>
                    <w:t xml:space="preserve"> o unidad productora </w:t>
                  </w:r>
                  <w:r w:rsidRPr="00A646D4">
                    <w:rPr>
                      <w:rFonts w:ascii="Arial" w:eastAsia="Times New Roman" w:hAnsi="Arial"/>
                      <w:b/>
                      <w:bCs/>
                      <w:sz w:val="16"/>
                      <w:szCs w:val="20"/>
                      <w:lang w:eastAsia="es-PE"/>
                    </w:rPr>
                    <w:t>según el PNIE</w:t>
                  </w:r>
                </w:p>
              </w:tc>
              <w:tc>
                <w:tcPr>
                  <w:tcW w:w="2835" w:type="dxa"/>
                  <w:shd w:val="clear" w:color="000000" w:fill="BFBFBF"/>
                  <w:vAlign w:val="center"/>
                  <w:hideMark/>
                </w:tcPr>
                <w:p w14:paraId="4438A36E" w14:textId="77777777" w:rsidR="00A6796B" w:rsidRPr="00A646D4" w:rsidRDefault="00A6796B" w:rsidP="00A6796B">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A6796B" w:rsidRPr="00A646D4" w14:paraId="3BF31024" w14:textId="77777777" w:rsidTr="00CA12D4">
              <w:trPr>
                <w:trHeight w:val="283"/>
                <w:jc w:val="center"/>
              </w:trPr>
              <w:tc>
                <w:tcPr>
                  <w:tcW w:w="5127" w:type="dxa"/>
                  <w:shd w:val="clear" w:color="auto" w:fill="auto"/>
                  <w:noWrap/>
                  <w:vAlign w:val="center"/>
                  <w:hideMark/>
                </w:tcPr>
                <w:p w14:paraId="4C2C728F"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6033BD53"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A6796B" w:rsidRPr="00A646D4" w14:paraId="02124997" w14:textId="77777777" w:rsidTr="00CA12D4">
              <w:trPr>
                <w:trHeight w:val="283"/>
                <w:jc w:val="center"/>
              </w:trPr>
              <w:tc>
                <w:tcPr>
                  <w:tcW w:w="5127" w:type="dxa"/>
                  <w:shd w:val="clear" w:color="auto" w:fill="auto"/>
                  <w:noWrap/>
                  <w:vAlign w:val="center"/>
                </w:tcPr>
                <w:p w14:paraId="76BEF9A2"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lastRenderedPageBreak/>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177BC3C6"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A646D4" w14:paraId="1F11D68B" w14:textId="77777777" w:rsidTr="00CA12D4">
              <w:trPr>
                <w:trHeight w:val="283"/>
                <w:jc w:val="center"/>
              </w:trPr>
              <w:tc>
                <w:tcPr>
                  <w:tcW w:w="5127" w:type="dxa"/>
                  <w:shd w:val="clear" w:color="auto" w:fill="auto"/>
                  <w:noWrap/>
                  <w:vAlign w:val="center"/>
                </w:tcPr>
                <w:p w14:paraId="129DE459"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4E4DF08B"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A646D4" w14:paraId="591B2E31" w14:textId="77777777" w:rsidTr="00CA12D4">
              <w:trPr>
                <w:trHeight w:val="283"/>
                <w:jc w:val="center"/>
              </w:trPr>
              <w:tc>
                <w:tcPr>
                  <w:tcW w:w="5127" w:type="dxa"/>
                  <w:shd w:val="clear" w:color="auto" w:fill="auto"/>
                  <w:noWrap/>
                  <w:vAlign w:val="center"/>
                </w:tcPr>
                <w:p w14:paraId="0A60685E"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2F9097C5"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A646D4" w14:paraId="43778E95" w14:textId="77777777" w:rsidTr="00CA12D4">
              <w:trPr>
                <w:trHeight w:val="283"/>
                <w:jc w:val="center"/>
              </w:trPr>
              <w:tc>
                <w:tcPr>
                  <w:tcW w:w="5127" w:type="dxa"/>
                  <w:shd w:val="clear" w:color="auto" w:fill="auto"/>
                  <w:noWrap/>
                  <w:vAlign w:val="center"/>
                  <w:hideMark/>
                </w:tcPr>
                <w:p w14:paraId="02C7EE8A"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4B16C45A"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A646D4" w14:paraId="1732DFA9" w14:textId="77777777" w:rsidTr="00CA12D4">
              <w:trPr>
                <w:trHeight w:val="283"/>
                <w:jc w:val="center"/>
              </w:trPr>
              <w:tc>
                <w:tcPr>
                  <w:tcW w:w="5127" w:type="dxa"/>
                  <w:shd w:val="clear" w:color="auto" w:fill="auto"/>
                  <w:noWrap/>
                  <w:vAlign w:val="center"/>
                  <w:hideMark/>
                </w:tcPr>
                <w:p w14:paraId="5CA5CB76" w14:textId="77777777" w:rsidR="00A6796B" w:rsidRPr="00A646D4" w:rsidRDefault="00A6796B" w:rsidP="00A6796B">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5F7B45D5"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A646D4" w14:paraId="513EA43E" w14:textId="77777777" w:rsidTr="00CA12D4">
              <w:trPr>
                <w:trHeight w:val="283"/>
                <w:jc w:val="center"/>
              </w:trPr>
              <w:tc>
                <w:tcPr>
                  <w:tcW w:w="5127" w:type="dxa"/>
                  <w:shd w:val="clear" w:color="auto" w:fill="auto"/>
                  <w:noWrap/>
                  <w:vAlign w:val="center"/>
                </w:tcPr>
                <w:p w14:paraId="15BB23B9" w14:textId="77777777" w:rsidR="00A6796B" w:rsidRPr="00A646D4" w:rsidRDefault="00A6796B" w:rsidP="00A6796B">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47563511" w14:textId="77777777" w:rsidR="00A6796B" w:rsidRPr="00A646D4" w:rsidRDefault="00A6796B" w:rsidP="00A6796B">
                  <w:pPr>
                    <w:spacing w:after="0" w:line="240" w:lineRule="auto"/>
                    <w:contextualSpacing/>
                    <w:jc w:val="center"/>
                    <w:rPr>
                      <w:rFonts w:ascii="Arial" w:eastAsia="Times New Roman" w:hAnsi="Arial"/>
                      <w:sz w:val="16"/>
                      <w:szCs w:val="20"/>
                      <w:lang w:eastAsia="es-PE"/>
                    </w:rPr>
                  </w:pPr>
                </w:p>
              </w:tc>
            </w:tr>
            <w:tr w:rsidR="00A6796B" w:rsidRPr="0017146E" w14:paraId="3D26072D" w14:textId="77777777" w:rsidTr="00CA12D4">
              <w:trPr>
                <w:trHeight w:val="283"/>
                <w:jc w:val="center"/>
              </w:trPr>
              <w:tc>
                <w:tcPr>
                  <w:tcW w:w="5127" w:type="dxa"/>
                  <w:shd w:val="clear" w:color="auto" w:fill="auto"/>
                  <w:noWrap/>
                  <w:vAlign w:val="center"/>
                  <w:hideMark/>
                </w:tcPr>
                <w:p w14:paraId="6B2FBAE8" w14:textId="77777777" w:rsidR="00A6796B" w:rsidRPr="0017146E" w:rsidRDefault="00A6796B" w:rsidP="00A6796B">
                  <w:pPr>
                    <w:spacing w:after="0" w:line="240" w:lineRule="auto"/>
                    <w:contextualSpacing/>
                    <w:rPr>
                      <w:rFonts w:ascii="Arial" w:eastAsia="Times New Roman" w:hAnsi="Arial"/>
                      <w:sz w:val="16"/>
                      <w:szCs w:val="16"/>
                      <w:lang w:eastAsia="es-PE"/>
                    </w:rPr>
                  </w:pPr>
                  <w:r w:rsidRPr="0017146E">
                    <w:rPr>
                      <w:rFonts w:ascii="Arial" w:eastAsia="Times New Roman" w:hAnsi="Arial"/>
                      <w:b/>
                      <w:sz w:val="16"/>
                      <w:szCs w:val="16"/>
                      <w:lang w:eastAsia="es-PE"/>
                    </w:rPr>
                    <w:t>Sin Intervención</w:t>
                  </w:r>
                  <w:r w:rsidRPr="0017146E">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21225510" w14:textId="77777777" w:rsidR="00A6796B" w:rsidRPr="0017146E" w:rsidRDefault="00A6796B" w:rsidP="00A6796B">
                  <w:pPr>
                    <w:spacing w:after="0" w:line="240" w:lineRule="auto"/>
                    <w:contextualSpacing/>
                    <w:jc w:val="center"/>
                    <w:rPr>
                      <w:rFonts w:ascii="Arial" w:eastAsia="Times New Roman" w:hAnsi="Arial"/>
                      <w:sz w:val="16"/>
                      <w:szCs w:val="20"/>
                      <w:lang w:eastAsia="es-PE"/>
                    </w:rPr>
                  </w:pPr>
                  <w:r w:rsidRPr="0017146E">
                    <w:rPr>
                      <w:rFonts w:ascii="Arial" w:eastAsia="Times New Roman" w:hAnsi="Arial"/>
                      <w:sz w:val="16"/>
                      <w:szCs w:val="20"/>
                      <w:lang w:eastAsia="es-PE"/>
                    </w:rPr>
                    <w:t>Adecuada</w:t>
                  </w:r>
                </w:p>
              </w:tc>
            </w:tr>
            <w:tr w:rsidR="00A6796B" w:rsidRPr="0017146E" w14:paraId="2DB8D1FF" w14:textId="77777777" w:rsidTr="00CA12D4">
              <w:trPr>
                <w:trHeight w:val="283"/>
                <w:jc w:val="center"/>
              </w:trPr>
              <w:tc>
                <w:tcPr>
                  <w:tcW w:w="5127" w:type="dxa"/>
                  <w:shd w:val="clear" w:color="auto" w:fill="auto"/>
                  <w:noWrap/>
                  <w:vAlign w:val="center"/>
                </w:tcPr>
                <w:p w14:paraId="76EE244F" w14:textId="77777777" w:rsidR="00A6796B" w:rsidRPr="0017146E" w:rsidRDefault="00A6796B" w:rsidP="00A6796B">
                  <w:pPr>
                    <w:spacing w:after="0" w:line="240" w:lineRule="auto"/>
                    <w:contextualSpacing/>
                    <w:jc w:val="both"/>
                    <w:rPr>
                      <w:rFonts w:ascii="Arial" w:eastAsia="Times New Roman" w:hAnsi="Arial"/>
                      <w:sz w:val="16"/>
                      <w:szCs w:val="16"/>
                      <w:lang w:eastAsia="es-PE"/>
                    </w:rPr>
                  </w:pPr>
                  <w:r w:rsidRPr="0017146E">
                    <w:rPr>
                      <w:rFonts w:ascii="Arial" w:eastAsia="Times New Roman" w:hAnsi="Arial"/>
                      <w:b/>
                      <w:sz w:val="16"/>
                      <w:szCs w:val="16"/>
                      <w:lang w:eastAsia="es-PE"/>
                    </w:rPr>
                    <w:t>Local educativo o unidad productora intervenido mediante un proyecto de inversión pública de infraestructura educativa:</w:t>
                  </w:r>
                  <w:r w:rsidRPr="0017146E">
                    <w:rPr>
                      <w:rFonts w:ascii="Arial" w:eastAsia="Times New Roman" w:hAnsi="Arial"/>
                      <w:sz w:val="16"/>
                      <w:szCs w:val="16"/>
                      <w:lang w:eastAsia="es-PE"/>
                    </w:rPr>
                    <w:t xml:space="preserve"> Cuando se han completado las intervenciones mediante inversión que calificaban al local educativo o unidad productora como inadecuado.</w:t>
                  </w:r>
                </w:p>
              </w:tc>
              <w:tc>
                <w:tcPr>
                  <w:tcW w:w="2835" w:type="dxa"/>
                  <w:vMerge/>
                  <w:shd w:val="clear" w:color="auto" w:fill="auto"/>
                  <w:vAlign w:val="center"/>
                </w:tcPr>
                <w:p w14:paraId="28F3D82C" w14:textId="77777777" w:rsidR="00A6796B" w:rsidRPr="0017146E" w:rsidRDefault="00A6796B" w:rsidP="00A6796B">
                  <w:pPr>
                    <w:spacing w:after="0" w:line="240" w:lineRule="auto"/>
                    <w:contextualSpacing/>
                    <w:jc w:val="center"/>
                    <w:rPr>
                      <w:rFonts w:ascii="Arial" w:eastAsia="Times New Roman" w:hAnsi="Arial"/>
                      <w:sz w:val="20"/>
                      <w:szCs w:val="20"/>
                      <w:lang w:eastAsia="es-PE"/>
                    </w:rPr>
                  </w:pPr>
                </w:p>
              </w:tc>
            </w:tr>
          </w:tbl>
          <w:p w14:paraId="0A73919F" w14:textId="77777777" w:rsidR="00A6796B" w:rsidRPr="0017146E" w:rsidRDefault="00A6796B" w:rsidP="00FD68EF">
            <w:pPr>
              <w:jc w:val="both"/>
              <w:rPr>
                <w:rFonts w:ascii="Arial" w:hAnsi="Arial"/>
                <w:sz w:val="20"/>
                <w:szCs w:val="20"/>
              </w:rPr>
            </w:pPr>
          </w:p>
          <w:p w14:paraId="2F8C642B" w14:textId="77777777" w:rsidR="00FD68EF" w:rsidRPr="0017146E" w:rsidRDefault="00FD68EF" w:rsidP="00FD68EF">
            <w:pPr>
              <w:jc w:val="both"/>
              <w:rPr>
                <w:rFonts w:ascii="Arial" w:hAnsi="Arial"/>
                <w:sz w:val="20"/>
                <w:szCs w:val="20"/>
              </w:rPr>
            </w:pPr>
          </w:p>
          <w:p w14:paraId="0CDDF2B9" w14:textId="77777777" w:rsidR="0090469F" w:rsidRPr="0017146E" w:rsidRDefault="0090469F" w:rsidP="0090469F">
            <w:pPr>
              <w:pStyle w:val="Prrafodelista"/>
              <w:numPr>
                <w:ilvl w:val="1"/>
                <w:numId w:val="2"/>
              </w:numPr>
              <w:jc w:val="both"/>
              <w:rPr>
                <w:rFonts w:ascii="Arial" w:hAnsi="Arial"/>
                <w:sz w:val="20"/>
                <w:szCs w:val="20"/>
              </w:rPr>
            </w:pPr>
            <w:r w:rsidRPr="0017146E">
              <w:rPr>
                <w:rFonts w:ascii="Arial" w:hAnsi="Arial"/>
                <w:sz w:val="20"/>
                <w:szCs w:val="20"/>
              </w:rPr>
              <w:t>Censo Escolar (CE). Se determinará que un ambiente se encuentra en estado inadecuado cuando al menos uno de sus elementos (pared, techo o piso) se encuentra con la denominación de Mal estado</w:t>
            </w:r>
            <w:r w:rsidRPr="0017146E">
              <w:rPr>
                <w:rStyle w:val="Refdenotaalpie"/>
                <w:rFonts w:ascii="Arial" w:hAnsi="Arial"/>
                <w:sz w:val="20"/>
                <w:szCs w:val="20"/>
              </w:rPr>
              <w:footnoteReference w:id="6"/>
            </w:r>
            <w:r w:rsidRPr="0017146E">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37EB8623" w14:textId="77777777" w:rsidR="00FD68EF" w:rsidRPr="0017146E" w:rsidRDefault="00FD68EF" w:rsidP="00FD68EF">
            <w:pPr>
              <w:jc w:val="both"/>
              <w:rPr>
                <w:rFonts w:ascii="Arial" w:hAnsi="Arial"/>
                <w:sz w:val="20"/>
                <w:szCs w:val="20"/>
              </w:rPr>
            </w:pPr>
          </w:p>
          <w:p w14:paraId="4C590FA7" w14:textId="77777777" w:rsidR="0090469F" w:rsidRPr="0017146E" w:rsidRDefault="0090469F" w:rsidP="00FD68EF">
            <w:pPr>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90469F" w:rsidRPr="0017146E" w14:paraId="038354B1" w14:textId="77777777" w:rsidTr="00F34E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77E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proofErr w:type="spellStart"/>
                  <w:r w:rsidRPr="0017146E">
                    <w:rPr>
                      <w:rFonts w:ascii="Arial" w:eastAsia="Times New Roman" w:hAnsi="Arial" w:cs="Arial"/>
                      <w:color w:val="000000"/>
                      <w:sz w:val="20"/>
                      <w:szCs w:val="20"/>
                      <w:lang w:eastAsia="es-PE"/>
                    </w:rPr>
                    <w:t>Nº</w:t>
                  </w:r>
                  <w:proofErr w:type="spellEnd"/>
                  <w:r w:rsidRPr="0017146E">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47920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BA8CC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B6C36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371E5A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Estado del ambiente</w:t>
                  </w:r>
                </w:p>
              </w:tc>
            </w:tr>
            <w:tr w:rsidR="0090469F" w:rsidRPr="0017146E" w14:paraId="6E38D8B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054BFC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2E4EE97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45FA42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429DDF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5350620"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73AFE9A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5DE84DA"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149B64A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871431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C28B7A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11B699F"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17569799"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A487C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48FA0043"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9E8E6C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6EB25D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6182529"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20D6FE1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0028C3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2CCB013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2F9603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33EBCB6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7E82B6D"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7F4476BA"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2DE9E2E"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6167452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1D46EC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AB06C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52F3658"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402C4BD7"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8BB69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0AE8331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8FCE5B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905026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039B047"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4018BE6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E664BD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3578BCC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3EE8BA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6FBD4A"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6BD880A"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3340E09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04D35E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7D1AD45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951B2A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E3F736E"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33C16BC"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192E5CC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AF601B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2AABAA2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6ACA07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794FBC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98CCA01"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2852D434"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2AB3FE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EBE439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433380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BF8D49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4003DE1"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7CA9094D"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CA3A536"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D05C5AE"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17DA5D6"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C4FE5E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03281C5"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27C13F2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D6CBA6"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7A4FA91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D16FF6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65195E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2F04CDC"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Adecuado</w:t>
                  </w:r>
                </w:p>
              </w:tc>
            </w:tr>
            <w:tr w:rsidR="0090469F" w:rsidRPr="0017146E" w14:paraId="14C9503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BA0B3F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1F2469F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302DA4A"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F7D186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D1D36B9"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00AD159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A17354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3764DDA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3994F1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7B773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A98BD8F"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1C59DF0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B21A78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lastRenderedPageBreak/>
                    <w:t>15</w:t>
                  </w:r>
                </w:p>
              </w:tc>
              <w:tc>
                <w:tcPr>
                  <w:tcW w:w="1080" w:type="dxa"/>
                  <w:tcBorders>
                    <w:top w:val="nil"/>
                    <w:left w:val="nil"/>
                    <w:bottom w:val="single" w:sz="4" w:space="0" w:color="auto"/>
                    <w:right w:val="single" w:sz="4" w:space="0" w:color="auto"/>
                  </w:tcBorders>
                  <w:shd w:val="clear" w:color="auto" w:fill="auto"/>
                  <w:noWrap/>
                  <w:vAlign w:val="center"/>
                  <w:hideMark/>
                </w:tcPr>
                <w:p w14:paraId="2525D5C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7879E9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DC77E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CF20940"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0D2397C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ECCDB7E"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540D381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A2E3AA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8CE02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97FF696"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24ABCBD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83A65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A90E55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3BA377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EF487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BBBF4D0"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490B2D6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B8EAA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6A0FBF5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92B89E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6571A7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69F51A0"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0AE0280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CD9D72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5C1FF45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0EDB38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A0C260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F1C4717"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60C4CEE1"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46D6DB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0517BE8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AF53D3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D39A68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7B6F43F"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0A3476C5"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9417E3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093836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6240F0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0627EB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DA47BF6"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2121239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9BD22B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07EA3E7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06C4A7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5712673"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0DCC93E"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6DBED66F"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F5F506B"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569CD650"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9D692CD"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7CAB73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56E36C4E"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1111AB88"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D3541F5"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0F30218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4841E5A"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8D2D67"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2137F91"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59916BA0"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EE295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4B3E902"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4FED0CF"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E9D824C"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B9C6312"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38C125A6"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ADABAE8"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744131B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41C443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B71E7FE"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BDDD855"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r w:rsidR="0090469F" w:rsidRPr="0017146E" w14:paraId="3F6EEA63" w14:textId="77777777" w:rsidTr="00F34E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4CE1304"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50BC65C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6988D21"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56B1A09" w14:textId="77777777" w:rsidR="0090469F" w:rsidRPr="0017146E" w:rsidRDefault="0090469F" w:rsidP="0090469F">
                  <w:pPr>
                    <w:spacing w:after="0" w:line="240" w:lineRule="auto"/>
                    <w:jc w:val="center"/>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8D28616" w14:textId="77777777" w:rsidR="0090469F" w:rsidRPr="0017146E" w:rsidRDefault="0090469F" w:rsidP="0090469F">
                  <w:pPr>
                    <w:spacing w:after="0" w:line="240" w:lineRule="auto"/>
                    <w:rPr>
                      <w:rFonts w:ascii="Arial" w:eastAsia="Times New Roman" w:hAnsi="Arial" w:cs="Arial"/>
                      <w:color w:val="000000"/>
                      <w:sz w:val="20"/>
                      <w:szCs w:val="20"/>
                      <w:lang w:eastAsia="es-PE"/>
                    </w:rPr>
                  </w:pPr>
                  <w:r w:rsidRPr="0017146E">
                    <w:rPr>
                      <w:rFonts w:ascii="Arial" w:eastAsia="Times New Roman" w:hAnsi="Arial" w:cs="Arial"/>
                      <w:color w:val="000000"/>
                      <w:sz w:val="20"/>
                      <w:szCs w:val="20"/>
                      <w:lang w:eastAsia="es-PE"/>
                    </w:rPr>
                    <w:t>Inadecuado</w:t>
                  </w:r>
                </w:p>
              </w:tc>
            </w:tr>
          </w:tbl>
          <w:p w14:paraId="7AC657FD" w14:textId="77777777" w:rsidR="0090469F" w:rsidRPr="0017146E" w:rsidRDefault="0090469F" w:rsidP="00FD68EF">
            <w:pPr>
              <w:jc w:val="both"/>
              <w:rPr>
                <w:rFonts w:ascii="Arial" w:hAnsi="Arial"/>
                <w:sz w:val="20"/>
                <w:szCs w:val="20"/>
              </w:rPr>
            </w:pPr>
          </w:p>
          <w:p w14:paraId="6BAD90CC" w14:textId="77777777" w:rsidR="0090469F" w:rsidRPr="0017146E" w:rsidRDefault="0090469F" w:rsidP="00FD68EF">
            <w:pPr>
              <w:jc w:val="both"/>
              <w:rPr>
                <w:rFonts w:ascii="Arial" w:hAnsi="Arial"/>
                <w:sz w:val="20"/>
                <w:szCs w:val="20"/>
              </w:rPr>
            </w:pPr>
          </w:p>
          <w:p w14:paraId="0CD08F9C" w14:textId="77777777" w:rsidR="0090469F" w:rsidRPr="0017146E" w:rsidRDefault="0090469F" w:rsidP="00FD68EF">
            <w:pPr>
              <w:jc w:val="both"/>
              <w:rPr>
                <w:rFonts w:ascii="Arial" w:hAnsi="Arial"/>
                <w:sz w:val="20"/>
                <w:szCs w:val="20"/>
              </w:rPr>
            </w:pPr>
          </w:p>
          <w:p w14:paraId="7B499967" w14:textId="77777777" w:rsidR="0090469F" w:rsidRPr="0017146E" w:rsidRDefault="0090469F" w:rsidP="0090469F">
            <w:pPr>
              <w:pStyle w:val="Prrafodelista"/>
              <w:ind w:left="1440"/>
              <w:jc w:val="both"/>
              <w:rPr>
                <w:rFonts w:ascii="Arial" w:hAnsi="Arial"/>
                <w:sz w:val="20"/>
                <w:szCs w:val="20"/>
              </w:rPr>
            </w:pPr>
            <w:r w:rsidRPr="0017146E">
              <w:rPr>
                <w:rFonts w:ascii="Arial" w:hAnsi="Arial"/>
                <w:sz w:val="20"/>
                <w:szCs w:val="20"/>
              </w:rPr>
              <w:t>Donde:</w:t>
            </w:r>
          </w:p>
          <w:p w14:paraId="518EF8B5" w14:textId="77777777" w:rsidR="0090469F" w:rsidRPr="0017146E" w:rsidRDefault="0090469F" w:rsidP="0090469F">
            <w:pPr>
              <w:pStyle w:val="Prrafodelista"/>
              <w:ind w:left="1440"/>
              <w:jc w:val="both"/>
              <w:rPr>
                <w:rFonts w:ascii="Arial" w:hAnsi="Arial"/>
                <w:sz w:val="20"/>
                <w:szCs w:val="20"/>
              </w:rPr>
            </w:pPr>
          </w:p>
          <w:p w14:paraId="74E80DFE" w14:textId="77777777" w:rsidR="0090469F" w:rsidRPr="0017146E" w:rsidRDefault="0090469F" w:rsidP="0090469F">
            <w:pPr>
              <w:pStyle w:val="Prrafodelista"/>
              <w:ind w:left="1440"/>
              <w:jc w:val="both"/>
              <w:rPr>
                <w:rFonts w:ascii="Arial" w:hAnsi="Arial"/>
                <w:sz w:val="20"/>
                <w:szCs w:val="20"/>
              </w:rPr>
            </w:pPr>
            <w:r w:rsidRPr="0017146E">
              <w:rPr>
                <w:rFonts w:ascii="Arial" w:hAnsi="Arial"/>
                <w:sz w:val="20"/>
                <w:szCs w:val="20"/>
              </w:rPr>
              <w:t>B: Bueno estado</w:t>
            </w:r>
          </w:p>
          <w:p w14:paraId="056DCC1A" w14:textId="77777777" w:rsidR="0090469F" w:rsidRPr="0017146E" w:rsidRDefault="0090469F" w:rsidP="0090469F">
            <w:pPr>
              <w:pStyle w:val="Prrafodelista"/>
              <w:ind w:left="1440"/>
              <w:jc w:val="both"/>
              <w:rPr>
                <w:rFonts w:ascii="Arial" w:hAnsi="Arial"/>
                <w:sz w:val="20"/>
                <w:szCs w:val="20"/>
              </w:rPr>
            </w:pPr>
            <w:r w:rsidRPr="0017146E">
              <w:rPr>
                <w:rFonts w:ascii="Arial" w:hAnsi="Arial"/>
                <w:sz w:val="20"/>
                <w:szCs w:val="20"/>
              </w:rPr>
              <w:t>R: Regular estado</w:t>
            </w:r>
          </w:p>
          <w:p w14:paraId="603BBA9D" w14:textId="77777777" w:rsidR="0090469F" w:rsidRPr="0017146E" w:rsidRDefault="0090469F" w:rsidP="0090469F">
            <w:pPr>
              <w:pStyle w:val="Prrafodelista"/>
              <w:ind w:left="1440"/>
              <w:jc w:val="both"/>
              <w:rPr>
                <w:rFonts w:ascii="Arial" w:hAnsi="Arial"/>
                <w:sz w:val="20"/>
                <w:szCs w:val="20"/>
              </w:rPr>
            </w:pPr>
            <w:r w:rsidRPr="0017146E">
              <w:rPr>
                <w:rFonts w:ascii="Arial" w:hAnsi="Arial"/>
                <w:sz w:val="20"/>
                <w:szCs w:val="20"/>
              </w:rPr>
              <w:t>M: Malo estado</w:t>
            </w:r>
          </w:p>
          <w:p w14:paraId="0EC37419" w14:textId="77777777" w:rsidR="0090469F" w:rsidRPr="0017146E" w:rsidRDefault="0090469F" w:rsidP="00FD68EF">
            <w:pPr>
              <w:jc w:val="both"/>
              <w:rPr>
                <w:rFonts w:ascii="Arial" w:hAnsi="Arial"/>
                <w:sz w:val="20"/>
                <w:szCs w:val="20"/>
              </w:rPr>
            </w:pPr>
          </w:p>
          <w:p w14:paraId="0295D620" w14:textId="77777777" w:rsidR="00FD68EF" w:rsidRPr="0017146E" w:rsidRDefault="00FD68EF" w:rsidP="00FD68EF">
            <w:pPr>
              <w:ind w:left="1014"/>
              <w:jc w:val="both"/>
              <w:rPr>
                <w:rFonts w:ascii="Arial" w:hAnsi="Arial"/>
                <w:sz w:val="20"/>
                <w:szCs w:val="20"/>
              </w:rPr>
            </w:pPr>
            <w:r w:rsidRPr="0017146E">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0ED65A41" w14:textId="77777777" w:rsidR="00FD68EF" w:rsidRPr="0017146E" w:rsidRDefault="00FD68EF" w:rsidP="00A6796B">
            <w:pPr>
              <w:autoSpaceDE w:val="0"/>
              <w:autoSpaceDN w:val="0"/>
              <w:ind w:left="1416"/>
              <w:contextualSpacing/>
              <w:jc w:val="both"/>
              <w:rPr>
                <w:rFonts w:ascii="Arial" w:hAnsi="Arial"/>
                <w:sz w:val="20"/>
                <w:szCs w:val="20"/>
              </w:rPr>
            </w:pPr>
          </w:p>
          <w:p w14:paraId="6400B032" w14:textId="77777777" w:rsidR="00A6796B" w:rsidRPr="0017146E" w:rsidRDefault="00A6796B" w:rsidP="00A6796B">
            <w:pPr>
              <w:pStyle w:val="Prrafodelista"/>
              <w:numPr>
                <w:ilvl w:val="0"/>
                <w:numId w:val="2"/>
              </w:numPr>
              <w:autoSpaceDE w:val="0"/>
              <w:autoSpaceDN w:val="0"/>
              <w:jc w:val="both"/>
              <w:rPr>
                <w:rFonts w:ascii="Arial" w:eastAsiaTheme="minorEastAsia" w:hAnsi="Arial"/>
                <w:sz w:val="20"/>
                <w:szCs w:val="20"/>
              </w:rPr>
            </w:pPr>
            <w:r w:rsidRPr="0017146E">
              <w:rPr>
                <w:rFonts w:ascii="Arial" w:eastAsiaTheme="minorEastAsia" w:hAnsi="Arial"/>
                <w:sz w:val="20"/>
                <w:szCs w:val="20"/>
              </w:rPr>
              <w:t>Para efectos de estimar con precisión el valor numérico de los indicadores y contar con un elevado nivel de confianza del estado de las UP a través de un análisis de inversión, no se consideran las inversiones con las siguientes características</w:t>
            </w:r>
            <w:r w:rsidRPr="0017146E">
              <w:rPr>
                <w:rStyle w:val="Refdenotaalpie"/>
                <w:rFonts w:ascii="Arial" w:eastAsiaTheme="minorEastAsia" w:hAnsi="Arial"/>
                <w:sz w:val="20"/>
                <w:szCs w:val="20"/>
              </w:rPr>
              <w:footnoteReference w:id="7"/>
            </w:r>
            <w:r w:rsidRPr="0017146E">
              <w:rPr>
                <w:rFonts w:ascii="Arial" w:eastAsiaTheme="minorEastAsia" w:hAnsi="Arial"/>
                <w:sz w:val="20"/>
                <w:szCs w:val="20"/>
              </w:rPr>
              <w:t>:</w:t>
            </w:r>
          </w:p>
          <w:p w14:paraId="09746C59" w14:textId="77777777" w:rsidR="00A6796B" w:rsidRPr="00993ABF" w:rsidRDefault="00A6796B" w:rsidP="00A6796B">
            <w:pPr>
              <w:pStyle w:val="Prrafodelista"/>
              <w:autoSpaceDE w:val="0"/>
              <w:autoSpaceDN w:val="0"/>
              <w:jc w:val="both"/>
              <w:rPr>
                <w:rFonts w:ascii="Arial" w:eastAsiaTheme="minorEastAsia" w:hAnsi="Arial"/>
                <w:sz w:val="20"/>
                <w:szCs w:val="20"/>
              </w:rPr>
            </w:pPr>
          </w:p>
          <w:p w14:paraId="526D4150" w14:textId="77777777" w:rsidR="00A6796B" w:rsidRPr="00993ABF" w:rsidRDefault="00A6796B" w:rsidP="00A6796B">
            <w:pPr>
              <w:pStyle w:val="Prrafodelista"/>
              <w:numPr>
                <w:ilvl w:val="0"/>
                <w:numId w:val="9"/>
              </w:numPr>
              <w:spacing w:line="259" w:lineRule="auto"/>
              <w:jc w:val="both"/>
              <w:rPr>
                <w:rFonts w:ascii="Arial" w:eastAsiaTheme="minorEastAsia" w:hAnsi="Arial"/>
                <w:sz w:val="20"/>
                <w:szCs w:val="20"/>
              </w:rPr>
            </w:pPr>
            <w:r w:rsidRPr="00993ABF">
              <w:rPr>
                <w:rFonts w:ascii="Arial" w:eastAsiaTheme="minorEastAsia" w:hAnsi="Arial"/>
                <w:sz w:val="20"/>
                <w:szCs w:val="20"/>
              </w:rPr>
              <w:t>No se considera ninguna inversión que no sea un proyecto de inversión</w:t>
            </w:r>
            <w:r>
              <w:rPr>
                <w:rFonts w:ascii="Arial" w:eastAsiaTheme="minorEastAsia" w:hAnsi="Arial"/>
                <w:sz w:val="20"/>
                <w:szCs w:val="20"/>
              </w:rPr>
              <w:t>, dado que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8"/>
            </w:r>
            <w:r>
              <w:rPr>
                <w:rFonts w:ascii="Arial" w:eastAsiaTheme="minorEastAsia" w:hAnsi="Arial"/>
                <w:sz w:val="20"/>
                <w:szCs w:val="20"/>
              </w:rPr>
              <w:t>.</w:t>
            </w:r>
          </w:p>
          <w:p w14:paraId="446F6FA1" w14:textId="77777777" w:rsidR="00A6796B" w:rsidRPr="00FE404C" w:rsidRDefault="00A6796B" w:rsidP="00A6796B">
            <w:pPr>
              <w:pStyle w:val="Prrafodelista"/>
              <w:numPr>
                <w:ilvl w:val="0"/>
                <w:numId w:val="9"/>
              </w:numPr>
              <w:spacing w:line="259" w:lineRule="auto"/>
              <w:jc w:val="both"/>
              <w:rPr>
                <w:rFonts w:ascii="Arial" w:eastAsiaTheme="minorEastAsia" w:hAnsi="Arial"/>
                <w:sz w:val="20"/>
                <w:szCs w:val="20"/>
              </w:rPr>
            </w:pPr>
            <w:r w:rsidRPr="00993ABF">
              <w:rPr>
                <w:rFonts w:ascii="Arial" w:eastAsiaTheme="minorEastAsia" w:hAnsi="Arial"/>
                <w:sz w:val="20"/>
                <w:szCs w:val="20"/>
              </w:rPr>
              <w:t>No se consideran los 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021A5DF7" w14:textId="77777777" w:rsidR="00A6796B" w:rsidRPr="00DC1294" w:rsidRDefault="00A6796B" w:rsidP="00A6796B">
            <w:pPr>
              <w:pStyle w:val="Prrafodelista"/>
              <w:numPr>
                <w:ilvl w:val="0"/>
                <w:numId w:val="9"/>
              </w:numPr>
              <w:spacing w:line="259" w:lineRule="auto"/>
              <w:jc w:val="both"/>
              <w:rPr>
                <w:rFonts w:ascii="Arial" w:eastAsiaTheme="minorEastAsia" w:hAnsi="Arial"/>
                <w:sz w:val="20"/>
                <w:szCs w:val="20"/>
              </w:rPr>
            </w:pPr>
            <w:r w:rsidRPr="00993ABF">
              <w:rPr>
                <w:rFonts w:ascii="Arial" w:eastAsiaTheme="minorEastAsia" w:hAnsi="Arial"/>
                <w:sz w:val="20"/>
                <w:szCs w:val="20"/>
              </w:rPr>
              <w:t>No se consideran los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4893847A" w14:textId="77777777" w:rsidR="00A6796B" w:rsidRDefault="00A6796B" w:rsidP="00A6796B">
            <w:pPr>
              <w:pStyle w:val="Prrafodelista"/>
              <w:numPr>
                <w:ilvl w:val="0"/>
                <w:numId w:val="9"/>
              </w:numPr>
              <w:spacing w:line="259" w:lineRule="auto"/>
              <w:jc w:val="both"/>
              <w:rPr>
                <w:rFonts w:ascii="Arial" w:eastAsiaTheme="minorEastAsia" w:hAnsi="Arial"/>
                <w:sz w:val="20"/>
                <w:szCs w:val="20"/>
              </w:rPr>
            </w:pPr>
            <w:r w:rsidRPr="00993ABF">
              <w:rPr>
                <w:rFonts w:ascii="Arial" w:eastAsiaTheme="minorEastAsia" w:hAnsi="Arial"/>
                <w:sz w:val="20"/>
                <w:szCs w:val="20"/>
              </w:rPr>
              <w:t>No se consideran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5E4E1B8E" w14:textId="77777777" w:rsidR="00A6796B" w:rsidRPr="00DC1294" w:rsidRDefault="00A6796B" w:rsidP="00A6796B">
            <w:pPr>
              <w:pStyle w:val="Prrafodelista"/>
              <w:numPr>
                <w:ilvl w:val="0"/>
                <w:numId w:val="9"/>
              </w:numPr>
              <w:spacing w:line="259" w:lineRule="auto"/>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75840241" w14:textId="77777777" w:rsidR="00A6796B" w:rsidRPr="00AA60BE" w:rsidRDefault="00A6796B" w:rsidP="00A6796B">
            <w:pPr>
              <w:pStyle w:val="Prrafodelista"/>
              <w:spacing w:line="259" w:lineRule="auto"/>
            </w:pPr>
          </w:p>
          <w:p w14:paraId="6457787D" w14:textId="77777777" w:rsidR="00A6796B" w:rsidRDefault="00A6796B" w:rsidP="00A6796B">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0AB63D70" w14:textId="77777777" w:rsidR="00A6796B" w:rsidRDefault="00A6796B" w:rsidP="00A6796B">
            <w:pPr>
              <w:pStyle w:val="Prrafodelista"/>
              <w:rPr>
                <w:rFonts w:ascii="Arial" w:eastAsiaTheme="minorEastAsia" w:hAnsi="Arial"/>
                <w:sz w:val="20"/>
                <w:szCs w:val="20"/>
              </w:rPr>
            </w:pPr>
          </w:p>
          <w:p w14:paraId="0C5FA5FE" w14:textId="77777777" w:rsidR="00A6796B" w:rsidRPr="003B66E9" w:rsidRDefault="00A6796B" w:rsidP="00A6796B">
            <w:pPr>
              <w:pStyle w:val="Prrafodelista"/>
              <w:numPr>
                <w:ilvl w:val="0"/>
                <w:numId w:val="3"/>
              </w:numPr>
              <w:spacing w:line="259" w:lineRule="auto"/>
              <w:jc w:val="both"/>
              <w:rPr>
                <w:rFonts w:ascii="Arial" w:eastAsiaTheme="minorEastAsia" w:hAnsi="Arial"/>
                <w:sz w:val="20"/>
                <w:szCs w:val="20"/>
              </w:rPr>
            </w:pPr>
            <w:r w:rsidRPr="00993ABF">
              <w:rPr>
                <w:rFonts w:ascii="Arial" w:eastAsiaTheme="minorEastAsia" w:hAnsi="Arial"/>
                <w:sz w:val="20"/>
                <w:szCs w:val="20"/>
              </w:rPr>
              <w:t xml:space="preserve">En caso la </w:t>
            </w:r>
            <w:r>
              <w:rPr>
                <w:rFonts w:ascii="Arial" w:eastAsiaTheme="minorEastAsia" w:hAnsi="Arial"/>
                <w:sz w:val="20"/>
                <w:szCs w:val="20"/>
              </w:rPr>
              <w:t>UP</w:t>
            </w:r>
            <w:r w:rsidRPr="00993ABF">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w:t>
            </w:r>
            <w:r w:rsidRPr="00993ABF">
              <w:rPr>
                <w:rFonts w:ascii="Arial" w:eastAsiaTheme="minorEastAsia" w:hAnsi="Arial"/>
                <w:sz w:val="20"/>
                <w:szCs w:val="20"/>
              </w:rPr>
              <w:lastRenderedPageBreak/>
              <w:t xml:space="preserve">del Estado de las Unidades Productoras en el Marco del Invierte.pe, ya que esta </w:t>
            </w:r>
            <w:r>
              <w:rPr>
                <w:rFonts w:ascii="Arial" w:eastAsiaTheme="minorEastAsia" w:hAnsi="Arial"/>
                <w:sz w:val="20"/>
                <w:szCs w:val="20"/>
              </w:rPr>
              <w:t>estima</w:t>
            </w:r>
            <w:r w:rsidRPr="00993ABF">
              <w:rPr>
                <w:rFonts w:ascii="Arial" w:eastAsiaTheme="minorEastAsia" w:hAnsi="Arial"/>
                <w:sz w:val="20"/>
                <w:szCs w:val="20"/>
              </w:rPr>
              <w:t xml:space="preserve"> el estado de las </w:t>
            </w:r>
            <w:r>
              <w:rPr>
                <w:rFonts w:ascii="Arial" w:eastAsiaTheme="minorEastAsia" w:hAnsi="Arial"/>
                <w:sz w:val="20"/>
                <w:szCs w:val="20"/>
              </w:rPr>
              <w:t>UP</w:t>
            </w:r>
            <w:r w:rsidRPr="00993ABF">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993ABF">
              <w:rPr>
                <w:rFonts w:ascii="Arial" w:eastAsiaTheme="minorEastAsia" w:hAnsi="Arial"/>
                <w:sz w:val="20"/>
                <w:szCs w:val="20"/>
              </w:rPr>
              <w:t xml:space="preserve"> </w:t>
            </w:r>
            <w:r w:rsidRPr="003B66E9">
              <w:rPr>
                <w:rFonts w:ascii="Arial" w:eastAsiaTheme="minorEastAsia" w:hAnsi="Arial"/>
                <w:sz w:val="20"/>
                <w:szCs w:val="20"/>
              </w:rPr>
              <w:t xml:space="preserve"> </w:t>
            </w:r>
          </w:p>
          <w:p w14:paraId="4C6FAC82" w14:textId="77777777" w:rsidR="00A6796B" w:rsidRPr="003B66E9" w:rsidRDefault="00A6796B" w:rsidP="00A6796B">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II.EE. </w:t>
            </w:r>
          </w:p>
          <w:p w14:paraId="7339C9A5" w14:textId="77777777" w:rsidR="00A6796B" w:rsidRPr="003B66E9" w:rsidRDefault="00A6796B" w:rsidP="00A6796B">
            <w:pPr>
              <w:pStyle w:val="Prrafodelista"/>
              <w:numPr>
                <w:ilvl w:val="0"/>
                <w:numId w:val="3"/>
              </w:numPr>
              <w:spacing w:line="259" w:lineRule="auto"/>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Pr>
                <w:rFonts w:ascii="Arial" w:eastAsiaTheme="minorEastAsia" w:hAnsi="Arial"/>
                <w:sz w:val="20"/>
                <w:szCs w:val="20"/>
              </w:rPr>
              <w:t>Director</w:t>
            </w:r>
            <w:proofErr w:type="gramEnd"/>
            <w:r>
              <w:rPr>
                <w:rFonts w:ascii="Arial" w:eastAsiaTheme="minorEastAsia" w:hAnsi="Arial"/>
                <w:sz w:val="20"/>
                <w:szCs w:val="20"/>
              </w:rPr>
              <w:t xml:space="preserve"> de la institución educativa.</w:t>
            </w:r>
          </w:p>
          <w:p w14:paraId="0AF9B7A8" w14:textId="77777777" w:rsidR="00A6796B" w:rsidRPr="003B66E9" w:rsidRDefault="00A6796B" w:rsidP="00A6796B">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993ABF">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993ABF">
              <w:rPr>
                <w:rFonts w:ascii="Arial" w:eastAsiaTheme="minorEastAsia" w:hAnsi="Arial"/>
                <w:sz w:val="20"/>
                <w:szCs w:val="20"/>
              </w:rPr>
              <w:t xml:space="preserve"> </w:t>
            </w:r>
            <w:r w:rsidRPr="003B66E9">
              <w:rPr>
                <w:rFonts w:ascii="Arial" w:eastAsiaTheme="minorEastAsia" w:hAnsi="Arial"/>
                <w:sz w:val="20"/>
                <w:szCs w:val="20"/>
              </w:rPr>
              <w:t>de acuerdo con</w:t>
            </w:r>
            <w:r w:rsidRPr="00993ABF">
              <w:rPr>
                <w:rFonts w:ascii="Arial" w:eastAsiaTheme="minorEastAsia" w:hAnsi="Arial"/>
                <w:sz w:val="20"/>
                <w:szCs w:val="20"/>
              </w:rPr>
              <w:t xml:space="preserve"> lo expuesto guarda la siguiente relación: A&gt;B&gt;C.</w:t>
            </w:r>
          </w:p>
          <w:p w14:paraId="29074D1F" w14:textId="77777777" w:rsidR="00A6796B" w:rsidRPr="00993ABF" w:rsidRDefault="00A6796B" w:rsidP="00A6796B">
            <w:pPr>
              <w:pStyle w:val="Prrafodelista"/>
              <w:autoSpaceDE w:val="0"/>
              <w:autoSpaceDN w:val="0"/>
              <w:jc w:val="both"/>
              <w:rPr>
                <w:rFonts w:ascii="Arial" w:eastAsiaTheme="minorEastAsia" w:hAnsi="Arial"/>
                <w:sz w:val="20"/>
                <w:szCs w:val="20"/>
              </w:rPr>
            </w:pPr>
            <w:r w:rsidRPr="00993ABF">
              <w:rPr>
                <w:rFonts w:ascii="Arial" w:eastAsiaTheme="minorEastAsia" w:hAnsi="Arial"/>
                <w:sz w:val="20"/>
                <w:szCs w:val="20"/>
              </w:rPr>
              <w:t>Donde:</w:t>
            </w:r>
          </w:p>
          <w:p w14:paraId="182674BB" w14:textId="77777777" w:rsidR="00A6796B" w:rsidRDefault="00A6796B" w:rsidP="00A6796B">
            <w:pPr>
              <w:pStyle w:val="Prrafodelista"/>
              <w:ind w:left="1068"/>
              <w:rPr>
                <w:rFonts w:ascii="Arial" w:hAnsi="Arial"/>
                <w:sz w:val="20"/>
                <w:szCs w:val="20"/>
              </w:rPr>
            </w:pPr>
          </w:p>
          <w:p w14:paraId="1658F4F1" w14:textId="77777777" w:rsidR="00A6796B" w:rsidRDefault="00A6796B" w:rsidP="00A6796B">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6DB96E35" w14:textId="77777777" w:rsidR="00A6796B" w:rsidRDefault="00A6796B" w:rsidP="00A6796B">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7DC5CAFB" w14:textId="77777777" w:rsidR="00A6796B" w:rsidRPr="00040D30" w:rsidRDefault="00A6796B" w:rsidP="00A6796B">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2808F665" w14:textId="77777777" w:rsidR="00A6796B" w:rsidRPr="00B90882" w:rsidRDefault="00A6796B" w:rsidP="00A6796B">
            <w:pPr>
              <w:pStyle w:val="Prrafodelista"/>
              <w:autoSpaceDE w:val="0"/>
              <w:autoSpaceDN w:val="0"/>
              <w:jc w:val="both"/>
              <w:rPr>
                <w:rFonts w:ascii="Arial" w:eastAsiaTheme="minorEastAsia" w:hAnsi="Arial"/>
                <w:sz w:val="20"/>
                <w:szCs w:val="20"/>
              </w:rPr>
            </w:pPr>
          </w:p>
          <w:p w14:paraId="7AE15A3A" w14:textId="77777777" w:rsidR="00A6796B" w:rsidRPr="00740572" w:rsidRDefault="00A6796B" w:rsidP="00A6796B">
            <w:pPr>
              <w:pStyle w:val="Prrafodelista"/>
              <w:numPr>
                <w:ilvl w:val="0"/>
                <w:numId w:val="2"/>
              </w:numPr>
              <w:jc w:val="both"/>
              <w:rPr>
                <w:rFonts w:ascii="Arial" w:eastAsiaTheme="minorEastAsia" w:hAnsi="Arial"/>
                <w:sz w:val="20"/>
                <w:szCs w:val="20"/>
              </w:rPr>
            </w:pPr>
            <w:r w:rsidRPr="00740572">
              <w:rPr>
                <w:rFonts w:ascii="Arial" w:eastAsiaTheme="minorEastAsia" w:hAnsi="Arial"/>
                <w:sz w:val="20"/>
                <w:szCs w:val="20"/>
              </w:rPr>
              <w:t>Se considera como año de línea base el año 20</w:t>
            </w:r>
            <w:r>
              <w:rPr>
                <w:rFonts w:ascii="Arial" w:eastAsiaTheme="minorEastAsia" w:hAnsi="Arial"/>
                <w:sz w:val="20"/>
                <w:szCs w:val="20"/>
              </w:rPr>
              <w:t>21</w:t>
            </w:r>
            <w:r w:rsidRPr="00740572">
              <w:rPr>
                <w:rFonts w:ascii="Arial" w:eastAsiaTheme="minorEastAsia" w:hAnsi="Arial"/>
                <w:sz w:val="20"/>
                <w:szCs w:val="20"/>
              </w:rPr>
              <w:t xml:space="preserve">, debido a que </w:t>
            </w:r>
            <w:r>
              <w:rPr>
                <w:rFonts w:ascii="Arial" w:eastAsiaTheme="minorEastAsia" w:hAnsi="Arial"/>
                <w:sz w:val="20"/>
                <w:szCs w:val="20"/>
              </w:rPr>
              <w:t>la primera medición se realizó en dicho año</w:t>
            </w:r>
            <w:r w:rsidRPr="00740572">
              <w:rPr>
                <w:rFonts w:ascii="Arial" w:eastAsiaTheme="minorEastAsia" w:hAnsi="Arial"/>
                <w:sz w:val="20"/>
                <w:szCs w:val="20"/>
              </w:rPr>
              <w:t>.</w:t>
            </w:r>
          </w:p>
          <w:p w14:paraId="324F6599" w14:textId="77777777" w:rsidR="00A6796B" w:rsidRPr="004E55F9" w:rsidRDefault="00A6796B" w:rsidP="00A6796B">
            <w:pPr>
              <w:pStyle w:val="Prrafodelista"/>
              <w:autoSpaceDE w:val="0"/>
              <w:autoSpaceDN w:val="0"/>
              <w:jc w:val="both"/>
              <w:rPr>
                <w:rFonts w:ascii="Arial" w:eastAsiaTheme="minorEastAsia" w:hAnsi="Arial"/>
                <w:sz w:val="20"/>
                <w:szCs w:val="20"/>
              </w:rPr>
            </w:pPr>
          </w:p>
          <w:p w14:paraId="785BAF9F" w14:textId="307B5ED3" w:rsidR="002C6B38" w:rsidRPr="009E6B4A" w:rsidRDefault="002C6B38" w:rsidP="002C6B38">
            <w:pPr>
              <w:rPr>
                <w:rFonts w:ascii="Arial" w:hAnsi="Arial" w:cs="Arial"/>
                <w:color w:val="FF0000"/>
                <w:sz w:val="18"/>
                <w:szCs w:val="20"/>
              </w:rPr>
            </w:pPr>
          </w:p>
        </w:tc>
      </w:tr>
      <w:tr w:rsidR="003F69BC" w:rsidRPr="003F69BC"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3F69BC" w:rsidRDefault="002C6B38" w:rsidP="002C6B38">
            <w:pPr>
              <w:rPr>
                <w:rFonts w:ascii="Arial" w:hAnsi="Arial" w:cs="Arial"/>
                <w:sz w:val="18"/>
                <w:szCs w:val="20"/>
              </w:rPr>
            </w:pPr>
            <w:r w:rsidRPr="003F69BC">
              <w:rPr>
                <w:rFonts w:ascii="Arial" w:hAnsi="Arial" w:cs="Arial"/>
                <w:b/>
                <w:bCs/>
                <w:szCs w:val="20"/>
              </w:rPr>
              <w:lastRenderedPageBreak/>
              <w:t>Supuestos</w:t>
            </w:r>
          </w:p>
        </w:tc>
      </w:tr>
      <w:tr w:rsidR="003F69BC" w:rsidRPr="003F69BC"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7DFB7EE" w14:textId="77777777" w:rsidR="003F69BC" w:rsidRPr="003F69BC" w:rsidRDefault="003F69BC" w:rsidP="003F69BC">
            <w:pPr>
              <w:pStyle w:val="Prrafodelista"/>
              <w:numPr>
                <w:ilvl w:val="0"/>
                <w:numId w:val="5"/>
              </w:numPr>
              <w:autoSpaceDE w:val="0"/>
              <w:autoSpaceDN w:val="0"/>
              <w:jc w:val="both"/>
              <w:rPr>
                <w:rFonts w:ascii="Arial" w:hAnsi="Arial"/>
                <w:sz w:val="20"/>
                <w:szCs w:val="20"/>
              </w:rPr>
            </w:pPr>
            <w:r w:rsidRPr="003F69BC">
              <w:rPr>
                <w:rFonts w:ascii="Arial" w:hAnsi="Arial"/>
                <w:sz w:val="20"/>
                <w:szCs w:val="20"/>
              </w:rPr>
              <w:t>Los directores de las instituciones educativas no tienen incentivo para declarar en el Censo Escolar que una infraestructura que se encuentra en malas condiciones está en buenas condiciones.</w:t>
            </w:r>
          </w:p>
          <w:p w14:paraId="5CA02C68" w14:textId="77777777" w:rsidR="003F69BC" w:rsidRPr="003F69BC" w:rsidRDefault="003F69BC" w:rsidP="003F69BC">
            <w:pPr>
              <w:pStyle w:val="Prrafodelista"/>
              <w:numPr>
                <w:ilvl w:val="0"/>
                <w:numId w:val="5"/>
              </w:numPr>
              <w:autoSpaceDE w:val="0"/>
              <w:autoSpaceDN w:val="0"/>
              <w:jc w:val="both"/>
              <w:rPr>
                <w:rFonts w:ascii="Arial" w:hAnsi="Arial"/>
                <w:sz w:val="20"/>
                <w:szCs w:val="20"/>
              </w:rPr>
            </w:pPr>
            <w:r w:rsidRPr="003F69BC">
              <w:rPr>
                <w:rFonts w:ascii="Arial" w:hAnsi="Arial"/>
                <w:sz w:val="20"/>
                <w:szCs w:val="20"/>
              </w:rPr>
              <w:t>Los activos estratégicos comunes entre dos o más UP que se encuentran dentro de un local educativo no generan duplicidad de intervenciones o registros dentro de un inventario de activos.</w:t>
            </w:r>
          </w:p>
          <w:p w14:paraId="07D470DE" w14:textId="77777777" w:rsidR="003F69BC" w:rsidRPr="003F69BC" w:rsidRDefault="003F69BC" w:rsidP="003F69BC">
            <w:pPr>
              <w:pStyle w:val="Prrafodelista"/>
              <w:numPr>
                <w:ilvl w:val="0"/>
                <w:numId w:val="5"/>
              </w:numPr>
              <w:autoSpaceDE w:val="0"/>
              <w:autoSpaceDN w:val="0"/>
              <w:jc w:val="both"/>
              <w:rPr>
                <w:rFonts w:ascii="Arial" w:hAnsi="Arial"/>
                <w:sz w:val="20"/>
                <w:szCs w:val="20"/>
              </w:rPr>
            </w:pPr>
            <w:r w:rsidRPr="003F69BC">
              <w:rPr>
                <w:rFonts w:ascii="Arial" w:hAnsi="Arial"/>
                <w:sz w:val="20"/>
                <w:szCs w:val="20"/>
              </w:rPr>
              <w:t>El valor de la sumatoria del nivel de inadecuación de las UP de una determinada área representa numéricamente la cantidad de UP que se encuentran en estado inadecuado.</w:t>
            </w:r>
          </w:p>
          <w:p w14:paraId="7BFABB61" w14:textId="77777777" w:rsidR="003F69BC" w:rsidRPr="003F69BC" w:rsidRDefault="003F69BC" w:rsidP="003F69BC">
            <w:pPr>
              <w:pStyle w:val="Prrafodelista"/>
              <w:numPr>
                <w:ilvl w:val="0"/>
                <w:numId w:val="5"/>
              </w:numPr>
              <w:jc w:val="both"/>
              <w:rPr>
                <w:rFonts w:ascii="Arial" w:hAnsi="Arial"/>
                <w:sz w:val="20"/>
                <w:szCs w:val="20"/>
              </w:rPr>
            </w:pPr>
            <w:r w:rsidRPr="003F69BC">
              <w:rPr>
                <w:rFonts w:ascii="Arial" w:hAnsi="Arial"/>
                <w:sz w:val="20"/>
                <w:szCs w:val="20"/>
              </w:rPr>
              <w:t xml:space="preserve">Un proyecto se encuentra culminado cuando se encuentra registrado como inversión culminada en el sistema del Banco de Inversiones de la DGPMI del MEF; o cuenta con el registro del Formato </w:t>
            </w:r>
            <w:proofErr w:type="spellStart"/>
            <w:r w:rsidRPr="003F69BC">
              <w:rPr>
                <w:rFonts w:ascii="Arial" w:hAnsi="Arial"/>
                <w:sz w:val="20"/>
                <w:szCs w:val="20"/>
              </w:rPr>
              <w:t>N°</w:t>
            </w:r>
            <w:proofErr w:type="spellEnd"/>
            <w:r w:rsidRPr="003F69BC">
              <w:rPr>
                <w:rFonts w:ascii="Arial" w:hAnsi="Arial"/>
                <w:sz w:val="20"/>
                <w:szCs w:val="20"/>
              </w:rPr>
              <w:t xml:space="preserve"> 9: Registro de Cierre de Inversión, hasta la sección B: Inversión Culminada (pendiente de liquidación física y financiera).</w:t>
            </w:r>
          </w:p>
          <w:p w14:paraId="5CF3640F" w14:textId="77777777" w:rsidR="003F69BC" w:rsidRPr="003F69BC" w:rsidRDefault="003F69BC" w:rsidP="003F69BC">
            <w:pPr>
              <w:pStyle w:val="Prrafodelista"/>
              <w:numPr>
                <w:ilvl w:val="0"/>
                <w:numId w:val="5"/>
              </w:numPr>
              <w:jc w:val="both"/>
              <w:rPr>
                <w:rFonts w:ascii="Arial" w:hAnsi="Arial"/>
                <w:sz w:val="20"/>
                <w:szCs w:val="20"/>
              </w:rPr>
            </w:pPr>
            <w:r w:rsidRPr="003F69BC">
              <w:rPr>
                <w:rFonts w:ascii="Arial" w:hAnsi="Arial"/>
                <w:sz w:val="20"/>
                <w:szCs w:val="20"/>
              </w:rPr>
              <w:t>Las UF y UEI realizan un registro adecuado de las inversiones en el Banco de Inversiones.</w:t>
            </w:r>
          </w:p>
          <w:p w14:paraId="00527BFA" w14:textId="77777777" w:rsidR="003F69BC" w:rsidRPr="003F69BC" w:rsidRDefault="003F69BC" w:rsidP="003F69BC">
            <w:pPr>
              <w:pStyle w:val="Prrafodelista"/>
              <w:numPr>
                <w:ilvl w:val="0"/>
                <w:numId w:val="5"/>
              </w:numPr>
              <w:jc w:val="both"/>
              <w:rPr>
                <w:rFonts w:ascii="Arial" w:hAnsi="Arial"/>
                <w:sz w:val="20"/>
                <w:szCs w:val="20"/>
              </w:rPr>
            </w:pPr>
            <w:r w:rsidRPr="003F69BC">
              <w:rPr>
                <w:rFonts w:ascii="Arial" w:hAnsi="Arial"/>
                <w:sz w:val="20"/>
                <w:szCs w:val="20"/>
              </w:rPr>
              <w:t>Las inversiones fueron formuladas y elaboradas siguiendo la Guía General para la Identificación, Formulación y Evaluación de Proyectos de Inversión, los Lineamientos para la identificación y registro de las Inversiones de Optimización, de Ampliación Marginal, de Rehabilitación y de Reposición</w:t>
            </w:r>
            <w:r w:rsidRPr="003F69BC">
              <w:rPr>
                <w:rFonts w:ascii="Arial" w:eastAsiaTheme="minorEastAsia" w:hAnsi="Arial"/>
                <w:sz w:val="20"/>
                <w:szCs w:val="20"/>
              </w:rPr>
              <w:t xml:space="preserve"> (</w:t>
            </w:r>
            <w:r w:rsidRPr="003F69BC">
              <w:rPr>
                <w:rFonts w:ascii="Arial" w:hAnsi="Arial"/>
                <w:sz w:val="20"/>
                <w:szCs w:val="20"/>
              </w:rPr>
              <w:t>IOARR), las normas técnicas del Sector Educación y el Reglamento Nacional de Edificaciones.</w:t>
            </w:r>
          </w:p>
          <w:p w14:paraId="776AE834" w14:textId="77777777" w:rsidR="003F69BC" w:rsidRPr="003F69BC" w:rsidRDefault="003F69BC" w:rsidP="003F69BC">
            <w:pPr>
              <w:pStyle w:val="Prrafodelista"/>
              <w:numPr>
                <w:ilvl w:val="0"/>
                <w:numId w:val="5"/>
              </w:numPr>
              <w:jc w:val="both"/>
              <w:rPr>
                <w:rFonts w:ascii="Arial" w:hAnsi="Arial"/>
                <w:sz w:val="20"/>
                <w:szCs w:val="20"/>
              </w:rPr>
            </w:pPr>
            <w:r w:rsidRPr="003F69BC">
              <w:rPr>
                <w:rFonts w:ascii="Arial" w:hAnsi="Arial"/>
                <w:sz w:val="20"/>
                <w:szCs w:val="20"/>
              </w:rPr>
              <w:t>Para efectos del cálculo del valor del indicador, se considera que ninguna IOARR es una intervención integral en la UP.</w:t>
            </w:r>
          </w:p>
          <w:p w14:paraId="53FF7498" w14:textId="64B6F214" w:rsidR="002C6B38" w:rsidRPr="003F69BC" w:rsidRDefault="002C6B38" w:rsidP="002C6B38">
            <w:pPr>
              <w:rPr>
                <w:rFonts w:ascii="Arial" w:hAnsi="Arial" w:cs="Arial"/>
                <w:sz w:val="18"/>
                <w:szCs w:val="20"/>
              </w:rPr>
            </w:pPr>
          </w:p>
        </w:tc>
      </w:tr>
      <w:tr w:rsidR="003F69BC" w:rsidRPr="003F69BC"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3F69BC" w:rsidRDefault="00A6796B" w:rsidP="00A6796B">
            <w:pPr>
              <w:rPr>
                <w:rFonts w:ascii="Arial" w:hAnsi="Arial" w:cs="Arial"/>
                <w:sz w:val="18"/>
                <w:szCs w:val="20"/>
              </w:rPr>
            </w:pPr>
            <w:r w:rsidRPr="003F69BC">
              <w:rPr>
                <w:rFonts w:ascii="Arial" w:hAnsi="Arial" w:cs="Arial"/>
                <w:b/>
                <w:bCs/>
                <w:szCs w:val="20"/>
              </w:rPr>
              <w:t>Limitaciones</w:t>
            </w:r>
          </w:p>
        </w:tc>
      </w:tr>
      <w:tr w:rsidR="009E6B4A" w:rsidRPr="009E6B4A"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59A8912" w14:textId="77777777" w:rsidR="003F69BC" w:rsidRDefault="003F69BC" w:rsidP="003F69BC">
            <w:pPr>
              <w:pStyle w:val="Prrafodelista"/>
              <w:numPr>
                <w:ilvl w:val="0"/>
                <w:numId w:val="6"/>
              </w:numPr>
              <w:autoSpaceDE w:val="0"/>
              <w:autoSpaceDN w:val="0"/>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educativas y servidores públicos de los Gobiernos Regionales y Locales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y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248969E2" w14:textId="77777777" w:rsidR="003F69BC" w:rsidRDefault="003F69BC" w:rsidP="003F69BC">
            <w:pPr>
              <w:pStyle w:val="Prrafodelista"/>
              <w:numPr>
                <w:ilvl w:val="0"/>
                <w:numId w:val="6"/>
              </w:numPr>
              <w:autoSpaceDE w:val="0"/>
              <w:autoSpaceDN w:val="0"/>
              <w:jc w:val="both"/>
              <w:rPr>
                <w:rFonts w:ascii="Arial" w:hAnsi="Arial"/>
                <w:sz w:val="20"/>
                <w:szCs w:val="20"/>
              </w:rPr>
            </w:pPr>
            <w:r>
              <w:rPr>
                <w:rFonts w:ascii="Arial" w:hAnsi="Arial"/>
                <w:sz w:val="20"/>
                <w:szCs w:val="20"/>
              </w:rPr>
              <w:lastRenderedPageBreak/>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46AFBD9F" w14:textId="77777777" w:rsidR="003F69BC" w:rsidRPr="00D858E9" w:rsidRDefault="003F69BC" w:rsidP="003F69BC">
            <w:pPr>
              <w:pStyle w:val="Prrafodelista"/>
              <w:numPr>
                <w:ilvl w:val="0"/>
                <w:numId w:val="6"/>
              </w:numPr>
              <w:autoSpaceDE w:val="0"/>
              <w:autoSpaceDN w:val="0"/>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9E6B4A" w:rsidRDefault="002C6B38" w:rsidP="002C6B38">
            <w:pPr>
              <w:rPr>
                <w:rFonts w:ascii="Arial" w:hAnsi="Arial" w:cs="Arial"/>
                <w:color w:val="FF0000"/>
                <w:sz w:val="18"/>
                <w:szCs w:val="20"/>
              </w:rPr>
            </w:pPr>
          </w:p>
        </w:tc>
      </w:tr>
      <w:tr w:rsidR="000B702B" w:rsidRPr="000B702B"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0B702B" w:rsidRDefault="002C6B38" w:rsidP="002C6B38">
            <w:pPr>
              <w:rPr>
                <w:rFonts w:ascii="Arial" w:hAnsi="Arial" w:cs="Arial"/>
                <w:sz w:val="18"/>
                <w:szCs w:val="20"/>
              </w:rPr>
            </w:pPr>
            <w:r w:rsidRPr="000B702B">
              <w:rPr>
                <w:rFonts w:ascii="Arial" w:hAnsi="Arial" w:cs="Arial"/>
                <w:b/>
                <w:bCs/>
              </w:rPr>
              <w:lastRenderedPageBreak/>
              <w:t>Fuente de Datos</w:t>
            </w:r>
          </w:p>
        </w:tc>
      </w:tr>
      <w:tr w:rsidR="009E6B4A" w:rsidRPr="009E6B4A"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7740423" w14:textId="77777777" w:rsidR="000B702B" w:rsidRPr="001B3721" w:rsidRDefault="000B702B" w:rsidP="000B702B">
            <w:pPr>
              <w:spacing w:before="240" w:after="120"/>
              <w:jc w:val="both"/>
              <w:rPr>
                <w:rFonts w:ascii="Arial" w:hAnsi="Arial"/>
                <w:sz w:val="20"/>
                <w:szCs w:val="20"/>
                <w:lang w:val="es-MX"/>
              </w:rPr>
            </w:pPr>
            <w:r w:rsidRPr="001B3721">
              <w:rPr>
                <w:rFonts w:ascii="Arial" w:hAnsi="Arial"/>
                <w:sz w:val="20"/>
                <w:szCs w:val="20"/>
                <w:lang w:val="es-MX"/>
              </w:rPr>
              <w:t>Responsables de información:</w:t>
            </w:r>
          </w:p>
          <w:p w14:paraId="68CFB157" w14:textId="77777777" w:rsidR="000B702B" w:rsidRDefault="000B702B" w:rsidP="000B702B">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seguimiento que realiza del avance de la ejecución de las inversiones en apoyo al Órgano Resolutivo.</w:t>
            </w:r>
          </w:p>
          <w:p w14:paraId="02D355C3" w14:textId="77777777" w:rsidR="000B702B" w:rsidRPr="0039057B" w:rsidRDefault="000B702B" w:rsidP="000B702B">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39057B">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008DD6B0" w14:textId="77777777" w:rsidR="000B702B" w:rsidRPr="00040D30" w:rsidRDefault="000B702B" w:rsidP="000B702B">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5C71BDEF" w14:textId="77777777" w:rsidR="000B702B" w:rsidRPr="00040D30" w:rsidRDefault="000B702B" w:rsidP="000B702B">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129059CE" w14:textId="77777777" w:rsidR="000B702B" w:rsidRPr="00040D30" w:rsidRDefault="000B702B" w:rsidP="000B702B">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46D1EE5B" w14:textId="77777777" w:rsidR="000B702B" w:rsidRPr="00040D30" w:rsidRDefault="000B702B" w:rsidP="000B702B">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Plocal_sec300</w:t>
            </w:r>
            <w:r>
              <w:rPr>
                <w:rFonts w:ascii="Arial" w:hAnsi="Arial"/>
                <w:sz w:val="20"/>
                <w:szCs w:val="20"/>
                <w:lang w:val="es-MX"/>
              </w:rPr>
              <w:t>”</w:t>
            </w:r>
            <w:r>
              <w:rPr>
                <w:rFonts w:ascii="Arial" w:hAnsi="Arial"/>
                <w:sz w:val="20"/>
                <w:szCs w:val="20"/>
              </w:rPr>
              <w:t>.</w:t>
            </w:r>
          </w:p>
          <w:p w14:paraId="28B61996" w14:textId="51F2B34C" w:rsidR="002C6B38" w:rsidRPr="000B702B" w:rsidRDefault="000B702B" w:rsidP="009437D5">
            <w:pPr>
              <w:spacing w:before="240" w:after="120"/>
              <w:jc w:val="both"/>
              <w:rPr>
                <w:rFonts w:ascii="Arial" w:hAnsi="Arial"/>
                <w:sz w:val="20"/>
                <w:szCs w:val="20"/>
                <w:lang w:val="es-MX"/>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tc>
      </w:tr>
      <w:tr w:rsidR="000B702B" w:rsidRPr="000B702B"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0B702B" w:rsidRDefault="002C6B38" w:rsidP="002C6B38">
            <w:pPr>
              <w:rPr>
                <w:rFonts w:ascii="Arial" w:hAnsi="Arial" w:cs="Arial"/>
                <w:sz w:val="18"/>
                <w:szCs w:val="20"/>
              </w:rPr>
            </w:pPr>
            <w:r w:rsidRPr="000B702B">
              <w:rPr>
                <w:rFonts w:ascii="Arial" w:hAnsi="Arial" w:cs="Arial"/>
                <w:b/>
                <w:bCs/>
                <w:szCs w:val="20"/>
              </w:rPr>
              <w:t>Instrumento de Recolección de Información</w:t>
            </w:r>
          </w:p>
        </w:tc>
      </w:tr>
      <w:tr w:rsidR="002C6B38" w:rsidRPr="009E6B4A"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EBC35E4" w14:textId="77777777" w:rsidR="000B702B" w:rsidRDefault="000B702B" w:rsidP="000B702B">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756C4750" w14:textId="77777777" w:rsidR="000B702B" w:rsidRPr="0039057B" w:rsidRDefault="000B702B" w:rsidP="000B702B">
            <w:pPr>
              <w:pStyle w:val="Prrafodelista"/>
              <w:spacing w:before="240" w:after="120"/>
              <w:ind w:left="1068"/>
              <w:jc w:val="both"/>
              <w:rPr>
                <w:rFonts w:ascii="Arial" w:hAnsi="Arial"/>
                <w:sz w:val="20"/>
                <w:szCs w:val="20"/>
              </w:rPr>
            </w:pPr>
          </w:p>
          <w:p w14:paraId="55F8BFF2" w14:textId="77777777" w:rsidR="000B702B" w:rsidRPr="0039057B" w:rsidRDefault="000B702B" w:rsidP="000B702B">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42E898BB" w14:textId="77777777" w:rsidR="000B702B" w:rsidRPr="0039057B" w:rsidRDefault="000B702B" w:rsidP="000B702B">
            <w:pPr>
              <w:pStyle w:val="Prrafodelista"/>
              <w:spacing w:before="240" w:after="120"/>
              <w:ind w:left="1068"/>
              <w:jc w:val="both"/>
              <w:rPr>
                <w:rFonts w:ascii="Arial" w:hAnsi="Arial"/>
                <w:sz w:val="20"/>
                <w:szCs w:val="20"/>
              </w:rPr>
            </w:pPr>
          </w:p>
          <w:p w14:paraId="70381466" w14:textId="77777777" w:rsidR="000B702B" w:rsidRPr="00993ABF" w:rsidRDefault="000B702B" w:rsidP="000B702B">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lo realiza todos los años mediante la aplicación de fichas y el sistema de recojo de información.</w:t>
            </w:r>
          </w:p>
          <w:p w14:paraId="3344E65F" w14:textId="462D9BBB" w:rsidR="002C6B38" w:rsidRPr="009E6B4A" w:rsidRDefault="002C6B38" w:rsidP="000B702B">
            <w:pPr>
              <w:pStyle w:val="Prrafodelista"/>
              <w:spacing w:before="240" w:after="120"/>
              <w:ind w:left="1068"/>
              <w:jc w:val="both"/>
              <w:rPr>
                <w:rFonts w:ascii="Arial" w:hAnsi="Arial"/>
                <w:color w:val="FF0000"/>
                <w:sz w:val="20"/>
                <w:szCs w:val="20"/>
              </w:rPr>
            </w:pPr>
          </w:p>
        </w:tc>
      </w:tr>
      <w:bookmarkEnd w:id="0"/>
      <w:bookmarkEnd w:id="1"/>
    </w:tbl>
    <w:p w14:paraId="615CBBEE" w14:textId="1C7D0672" w:rsidR="00076082" w:rsidRPr="009E6B4A" w:rsidRDefault="00076082" w:rsidP="009F6EE7">
      <w:pPr>
        <w:spacing w:after="120" w:line="240" w:lineRule="auto"/>
        <w:jc w:val="both"/>
        <w:rPr>
          <w:color w:val="FF0000"/>
          <w:sz w:val="18"/>
        </w:rPr>
      </w:pPr>
    </w:p>
    <w:sectPr w:rsidR="00076082" w:rsidRPr="009E6B4A"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2E1B" w14:textId="77777777" w:rsidR="003602FA" w:rsidRDefault="003602FA" w:rsidP="00020DDF">
      <w:pPr>
        <w:spacing w:after="0" w:line="240" w:lineRule="auto"/>
      </w:pPr>
      <w:r>
        <w:separator/>
      </w:r>
    </w:p>
  </w:endnote>
  <w:endnote w:type="continuationSeparator" w:id="0">
    <w:p w14:paraId="4AD970E2" w14:textId="77777777" w:rsidR="003602FA" w:rsidRDefault="003602FA"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2326" w14:textId="77777777" w:rsidR="003602FA" w:rsidRDefault="003602FA" w:rsidP="00020DDF">
      <w:pPr>
        <w:spacing w:after="0" w:line="240" w:lineRule="auto"/>
      </w:pPr>
      <w:r>
        <w:separator/>
      </w:r>
    </w:p>
  </w:footnote>
  <w:footnote w:type="continuationSeparator" w:id="0">
    <w:p w14:paraId="696B47AA" w14:textId="77777777" w:rsidR="003602FA" w:rsidRDefault="003602FA" w:rsidP="00020DDF">
      <w:pPr>
        <w:spacing w:after="0" w:line="240" w:lineRule="auto"/>
      </w:pPr>
      <w:r>
        <w:continuationSeparator/>
      </w:r>
    </w:p>
  </w:footnote>
  <w:footnote w:id="1">
    <w:p w14:paraId="51A9DF8B" w14:textId="77777777" w:rsidR="00D65129" w:rsidRPr="004B178F" w:rsidRDefault="00D65129" w:rsidP="00D65129">
      <w:pPr>
        <w:pStyle w:val="Textonotapie"/>
        <w:jc w:val="both"/>
        <w:rPr>
          <w:rFonts w:ascii="Arial" w:hAnsi="Arial"/>
          <w:sz w:val="16"/>
          <w:szCs w:val="16"/>
          <w:lang w:val="es-PE"/>
        </w:rPr>
      </w:pPr>
      <w:r w:rsidRPr="00125B1F">
        <w:rPr>
          <w:rStyle w:val="Refdenotaalpie"/>
          <w:rFonts w:ascii="Arial" w:hAnsi="Arial"/>
          <w:sz w:val="16"/>
          <w:szCs w:val="16"/>
        </w:rPr>
        <w:footnoteRef/>
      </w:r>
      <w:r w:rsidRPr="00125B1F">
        <w:rPr>
          <w:rFonts w:ascii="Arial" w:hAnsi="Arial"/>
          <w:sz w:val="16"/>
          <w:szCs w:val="16"/>
        </w:rPr>
        <w:t xml:space="preserve"> Párrafo 13 del artículo 5 de la Directiva </w:t>
      </w:r>
      <w:proofErr w:type="spellStart"/>
      <w:r w:rsidRPr="00125B1F">
        <w:rPr>
          <w:rFonts w:ascii="Arial" w:hAnsi="Arial"/>
          <w:sz w:val="16"/>
          <w:szCs w:val="16"/>
        </w:rPr>
        <w:t>N°</w:t>
      </w:r>
      <w:proofErr w:type="spellEnd"/>
      <w:r w:rsidRPr="00125B1F">
        <w:rPr>
          <w:rFonts w:ascii="Arial" w:hAnsi="Arial"/>
          <w:sz w:val="16"/>
          <w:szCs w:val="16"/>
        </w:rPr>
        <w:t xml:space="preserve"> 001-2019-EF/63.01, Directiva General del Sistema de Programación Multianual y Gestión de Inversiones aprobado por Resolución Directoral </w:t>
      </w:r>
      <w:proofErr w:type="spellStart"/>
      <w:r w:rsidRPr="00125B1F">
        <w:rPr>
          <w:rFonts w:ascii="Arial" w:hAnsi="Arial"/>
          <w:sz w:val="16"/>
          <w:szCs w:val="16"/>
        </w:rPr>
        <w:t>N°</w:t>
      </w:r>
      <w:proofErr w:type="spellEnd"/>
      <w:r w:rsidRPr="00125B1F">
        <w:rPr>
          <w:rFonts w:ascii="Arial" w:hAnsi="Arial"/>
          <w:sz w:val="16"/>
          <w:szCs w:val="16"/>
        </w:rPr>
        <w:t xml:space="preserve"> 001-2019-EF/63.01 y sus modificatorias.</w:t>
      </w:r>
    </w:p>
  </w:footnote>
  <w:footnote w:id="2">
    <w:p w14:paraId="7CF1B527" w14:textId="77777777" w:rsidR="00D65129" w:rsidRPr="00125B1F" w:rsidRDefault="00D65129" w:rsidP="00D65129">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Se debe tener en cuenta que dentro de un local educativo pueden funcionar una o más unidades productoras, las cuales pueden brindar diferentes servicios.</w:t>
      </w:r>
    </w:p>
  </w:footnote>
  <w:footnote w:id="3">
    <w:p w14:paraId="5FBF9B51" w14:textId="77777777" w:rsidR="00D65129" w:rsidRPr="00CA3715" w:rsidRDefault="00D65129" w:rsidP="00D65129">
      <w:pPr>
        <w:pStyle w:val="Textonotapie"/>
        <w:jc w:val="both"/>
        <w:rPr>
          <w:rFonts w:ascii="Arial" w:hAnsi="Arial"/>
          <w:sz w:val="16"/>
          <w:szCs w:val="16"/>
        </w:rPr>
      </w:pPr>
      <w:r w:rsidRPr="00125B1F">
        <w:rPr>
          <w:rStyle w:val="Refdenotaalpie"/>
          <w:rFonts w:ascii="Arial" w:hAnsi="Arial"/>
          <w:sz w:val="16"/>
          <w:szCs w:val="16"/>
        </w:rPr>
        <w:footnoteRef/>
      </w:r>
      <w:r w:rsidRPr="00125B1F">
        <w:rPr>
          <w:rFonts w:ascii="Arial" w:hAnsi="Arial"/>
          <w:sz w:val="16"/>
          <w:szCs w:val="16"/>
        </w:rPr>
        <w:t xml:space="preserve"> Artículo 6 de la norma técnica "Criterios Generales de Diseño para Infraestructura Educativa", aprobada mediante Resolución Viceministerial </w:t>
      </w:r>
      <w:proofErr w:type="spellStart"/>
      <w:r w:rsidRPr="00125B1F">
        <w:rPr>
          <w:rFonts w:ascii="Arial" w:hAnsi="Arial"/>
          <w:sz w:val="16"/>
          <w:szCs w:val="16"/>
        </w:rPr>
        <w:t>N°</w:t>
      </w:r>
      <w:proofErr w:type="spellEnd"/>
      <w:r w:rsidRPr="00125B1F">
        <w:rPr>
          <w:rFonts w:ascii="Arial" w:hAnsi="Arial"/>
          <w:sz w:val="16"/>
          <w:szCs w:val="16"/>
        </w:rPr>
        <w:t xml:space="preserve"> 010-2022-MINEDU.</w:t>
      </w:r>
    </w:p>
  </w:footnote>
  <w:footnote w:id="4">
    <w:p w14:paraId="54B65FE5" w14:textId="77777777" w:rsidR="00D65129" w:rsidRPr="004B178F" w:rsidRDefault="00D65129" w:rsidP="00D65129">
      <w:pPr>
        <w:pStyle w:val="Textonotapie"/>
        <w:jc w:val="both"/>
        <w:rPr>
          <w:lang w:val="es-PE"/>
        </w:rPr>
      </w:pPr>
      <w:r w:rsidRPr="00177BB1">
        <w:rPr>
          <w:rStyle w:val="Refdenotaalpie"/>
          <w:rFonts w:ascii="Arial" w:hAnsi="Arial"/>
          <w:sz w:val="16"/>
          <w:szCs w:val="16"/>
        </w:rPr>
        <w:footnoteRef/>
      </w:r>
      <w:r w:rsidRPr="00177BB1">
        <w:rPr>
          <w:rFonts w:ascii="Arial" w:hAnsi="Arial"/>
          <w:sz w:val="16"/>
          <w:szCs w:val="16"/>
        </w:rPr>
        <w:t xml:space="preserve"> Artículo 64 del Reglamento de la Ley </w:t>
      </w:r>
      <w:proofErr w:type="spellStart"/>
      <w:r w:rsidRPr="00177BB1">
        <w:rPr>
          <w:rFonts w:ascii="Arial" w:hAnsi="Arial"/>
          <w:sz w:val="16"/>
          <w:szCs w:val="16"/>
        </w:rPr>
        <w:t>N°</w:t>
      </w:r>
      <w:proofErr w:type="spellEnd"/>
      <w:r w:rsidRPr="00177BB1">
        <w:rPr>
          <w:rFonts w:ascii="Arial" w:hAnsi="Arial"/>
          <w:sz w:val="16"/>
          <w:szCs w:val="16"/>
        </w:rPr>
        <w:t xml:space="preserve"> 28044, Ley General de Educación, aprobado por Decreto Supremo </w:t>
      </w:r>
      <w:proofErr w:type="spellStart"/>
      <w:r w:rsidRPr="00177BB1">
        <w:rPr>
          <w:rFonts w:ascii="Arial" w:hAnsi="Arial"/>
          <w:sz w:val="16"/>
          <w:szCs w:val="16"/>
        </w:rPr>
        <w:t>N°</w:t>
      </w:r>
      <w:proofErr w:type="spellEnd"/>
      <w:r w:rsidRPr="00177BB1">
        <w:rPr>
          <w:rFonts w:ascii="Arial" w:hAnsi="Arial"/>
          <w:sz w:val="16"/>
          <w:szCs w:val="16"/>
        </w:rPr>
        <w:t xml:space="preserve"> 011-2012-ED y sus modificatorias. </w:t>
      </w:r>
    </w:p>
  </w:footnote>
  <w:footnote w:id="5">
    <w:p w14:paraId="2AF9623E" w14:textId="77777777" w:rsidR="00A6796B" w:rsidRPr="00993ABF" w:rsidRDefault="00A6796B" w:rsidP="00A6796B">
      <w:pPr>
        <w:pStyle w:val="Textonotapie"/>
        <w:jc w:val="both"/>
        <w:rPr>
          <w:rFonts w:ascii="Arial" w:hAnsi="Arial"/>
          <w:sz w:val="16"/>
          <w:szCs w:val="16"/>
          <w:lang w:val="es-PE"/>
        </w:rPr>
      </w:pPr>
      <w:r w:rsidRPr="00993ABF">
        <w:rPr>
          <w:rStyle w:val="Refdenotaalpie"/>
          <w:rFonts w:ascii="Arial" w:hAnsi="Arial"/>
          <w:sz w:val="16"/>
          <w:szCs w:val="16"/>
        </w:rPr>
        <w:footnoteRef/>
      </w:r>
      <w:r w:rsidRPr="00993ABF">
        <w:rPr>
          <w:rFonts w:ascii="Arial" w:hAnsi="Arial"/>
          <w:sz w:val="16"/>
          <w:szCs w:val="16"/>
        </w:rPr>
        <w:t xml:space="preserve"> </w:t>
      </w:r>
      <w:r w:rsidRPr="00993ABF">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993ABF">
        <w:rPr>
          <w:rFonts w:ascii="Arial" w:hAnsi="Arial"/>
          <w:sz w:val="16"/>
          <w:szCs w:val="16"/>
          <w:lang w:val="es-PE"/>
        </w:rPr>
        <w:t>Nº</w:t>
      </w:r>
      <w:proofErr w:type="spellEnd"/>
      <w:r w:rsidRPr="00993ABF">
        <w:rPr>
          <w:rFonts w:ascii="Arial" w:hAnsi="Arial"/>
          <w:sz w:val="16"/>
          <w:szCs w:val="16"/>
          <w:lang w:val="es-PE"/>
        </w:rPr>
        <w:t xml:space="preserve"> 00598-2021-MINEDU/SPE-OPEP-UPI</w:t>
      </w:r>
      <w:r>
        <w:rPr>
          <w:rFonts w:ascii="Arial" w:hAnsi="Arial"/>
          <w:sz w:val="16"/>
          <w:szCs w:val="16"/>
          <w:lang w:val="es-PE"/>
        </w:rPr>
        <w:t>.</w:t>
      </w:r>
    </w:p>
  </w:footnote>
  <w:footnote w:id="6">
    <w:p w14:paraId="39B55B1B" w14:textId="77777777" w:rsidR="0090469F" w:rsidRDefault="0090469F" w:rsidP="0090469F">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3C3ABF30" w14:textId="77777777" w:rsidR="00A6796B" w:rsidRPr="00177BB1" w:rsidRDefault="00A6796B" w:rsidP="00A6796B">
      <w:pPr>
        <w:pStyle w:val="Textonotapie"/>
        <w:contextualSpacing/>
        <w:rPr>
          <w:rFonts w:ascii="Arial" w:hAnsi="Arial"/>
          <w:sz w:val="16"/>
          <w:szCs w:val="16"/>
        </w:rPr>
      </w:pPr>
      <w:r w:rsidRPr="00177BB1">
        <w:rPr>
          <w:rStyle w:val="Refdenotaalpie"/>
          <w:rFonts w:ascii="Arial" w:hAnsi="Arial"/>
          <w:sz w:val="16"/>
          <w:szCs w:val="16"/>
        </w:rPr>
        <w:footnoteRef/>
      </w:r>
      <w:r w:rsidRPr="00177BB1">
        <w:rPr>
          <w:rFonts w:ascii="Arial" w:hAnsi="Arial"/>
          <w:sz w:val="16"/>
          <w:szCs w:val="16"/>
        </w:rPr>
        <w:t xml:space="preserve"> Las inversiones consideradas en los literales b), c) y d) no se consideran inversiones que se encuentran en el marco del Invierte.pe.</w:t>
      </w:r>
    </w:p>
  </w:footnote>
  <w:footnote w:id="8">
    <w:p w14:paraId="34C56609" w14:textId="77777777" w:rsidR="00A6796B" w:rsidRPr="006572B3" w:rsidRDefault="00A6796B" w:rsidP="00A6796B">
      <w:pPr>
        <w:spacing w:after="0" w:line="240" w:lineRule="auto"/>
        <w:contextualSpacing/>
        <w:jc w:val="both"/>
        <w:rPr>
          <w:rFonts w:ascii="Arial" w:hAnsi="Arial"/>
        </w:rPr>
      </w:pPr>
      <w:r w:rsidRPr="00177BB1">
        <w:rPr>
          <w:rStyle w:val="Refdenotaalpie"/>
          <w:rFonts w:ascii="Arial" w:hAnsi="Arial"/>
          <w:sz w:val="16"/>
          <w:szCs w:val="16"/>
        </w:rPr>
        <w:footnoteRef/>
      </w:r>
      <w:r w:rsidRPr="00177BB1">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2D93232D"/>
    <w:multiLevelType w:val="hybridMultilevel"/>
    <w:tmpl w:val="565EC4A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39F22A64"/>
    <w:multiLevelType w:val="hybridMultilevel"/>
    <w:tmpl w:val="3EB2C58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696969">
    <w:abstractNumId w:val="5"/>
  </w:num>
  <w:num w:numId="2" w16cid:durableId="1389383340">
    <w:abstractNumId w:val="3"/>
  </w:num>
  <w:num w:numId="3" w16cid:durableId="543716498">
    <w:abstractNumId w:val="1"/>
  </w:num>
  <w:num w:numId="4" w16cid:durableId="1666781112">
    <w:abstractNumId w:val="9"/>
  </w:num>
  <w:num w:numId="5" w16cid:durableId="1227759528">
    <w:abstractNumId w:val="7"/>
  </w:num>
  <w:num w:numId="6" w16cid:durableId="987133348">
    <w:abstractNumId w:val="4"/>
  </w:num>
  <w:num w:numId="7" w16cid:durableId="1396315121">
    <w:abstractNumId w:val="6"/>
  </w:num>
  <w:num w:numId="8" w16cid:durableId="1128283598">
    <w:abstractNumId w:val="8"/>
  </w:num>
  <w:num w:numId="9" w16cid:durableId="964120694">
    <w:abstractNumId w:val="0"/>
  </w:num>
  <w:num w:numId="10" w16cid:durableId="54220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45EB3"/>
    <w:rsid w:val="00071462"/>
    <w:rsid w:val="00076082"/>
    <w:rsid w:val="000A263F"/>
    <w:rsid w:val="000B702B"/>
    <w:rsid w:val="000C10E2"/>
    <w:rsid w:val="000F784E"/>
    <w:rsid w:val="00101143"/>
    <w:rsid w:val="001056C9"/>
    <w:rsid w:val="001125DA"/>
    <w:rsid w:val="00142865"/>
    <w:rsid w:val="0015653C"/>
    <w:rsid w:val="00162C09"/>
    <w:rsid w:val="0017146E"/>
    <w:rsid w:val="00171EB6"/>
    <w:rsid w:val="001A24B5"/>
    <w:rsid w:val="001D5D9B"/>
    <w:rsid w:val="001E1655"/>
    <w:rsid w:val="001E666F"/>
    <w:rsid w:val="001F59BD"/>
    <w:rsid w:val="00201772"/>
    <w:rsid w:val="00215A43"/>
    <w:rsid w:val="002175A0"/>
    <w:rsid w:val="002307C5"/>
    <w:rsid w:val="00246044"/>
    <w:rsid w:val="002512EA"/>
    <w:rsid w:val="002635D3"/>
    <w:rsid w:val="002756B5"/>
    <w:rsid w:val="002C6B38"/>
    <w:rsid w:val="002D244C"/>
    <w:rsid w:val="0030016D"/>
    <w:rsid w:val="00325B1B"/>
    <w:rsid w:val="003261A2"/>
    <w:rsid w:val="00357844"/>
    <w:rsid w:val="003602FA"/>
    <w:rsid w:val="00373F00"/>
    <w:rsid w:val="003C21ED"/>
    <w:rsid w:val="003E1B59"/>
    <w:rsid w:val="003E3E91"/>
    <w:rsid w:val="003F69BC"/>
    <w:rsid w:val="00412C06"/>
    <w:rsid w:val="00442BBE"/>
    <w:rsid w:val="004A211F"/>
    <w:rsid w:val="004A630A"/>
    <w:rsid w:val="004B73EC"/>
    <w:rsid w:val="004C4331"/>
    <w:rsid w:val="004C4D79"/>
    <w:rsid w:val="004E552A"/>
    <w:rsid w:val="00501759"/>
    <w:rsid w:val="005252CF"/>
    <w:rsid w:val="00573060"/>
    <w:rsid w:val="005C15A3"/>
    <w:rsid w:val="005E2882"/>
    <w:rsid w:val="00616C93"/>
    <w:rsid w:val="00637FF0"/>
    <w:rsid w:val="006615AD"/>
    <w:rsid w:val="006757C3"/>
    <w:rsid w:val="006A5398"/>
    <w:rsid w:val="00714A93"/>
    <w:rsid w:val="007236D7"/>
    <w:rsid w:val="00724F66"/>
    <w:rsid w:val="00746EB6"/>
    <w:rsid w:val="00762528"/>
    <w:rsid w:val="00785D71"/>
    <w:rsid w:val="00791B39"/>
    <w:rsid w:val="007C4F1D"/>
    <w:rsid w:val="007E5285"/>
    <w:rsid w:val="00806383"/>
    <w:rsid w:val="008137E9"/>
    <w:rsid w:val="00814517"/>
    <w:rsid w:val="0084371A"/>
    <w:rsid w:val="0085415B"/>
    <w:rsid w:val="00871BC1"/>
    <w:rsid w:val="00874E1D"/>
    <w:rsid w:val="008853C5"/>
    <w:rsid w:val="008B1AA7"/>
    <w:rsid w:val="008C2AC8"/>
    <w:rsid w:val="008E10DB"/>
    <w:rsid w:val="008E38B9"/>
    <w:rsid w:val="008E6B4E"/>
    <w:rsid w:val="008F534B"/>
    <w:rsid w:val="009002FB"/>
    <w:rsid w:val="0090469F"/>
    <w:rsid w:val="00906072"/>
    <w:rsid w:val="009435FB"/>
    <w:rsid w:val="009437D5"/>
    <w:rsid w:val="009736FF"/>
    <w:rsid w:val="0099799F"/>
    <w:rsid w:val="009B732B"/>
    <w:rsid w:val="009E6B4A"/>
    <w:rsid w:val="009F1EB6"/>
    <w:rsid w:val="009F6EE7"/>
    <w:rsid w:val="00A42A6D"/>
    <w:rsid w:val="00A6796B"/>
    <w:rsid w:val="00A85514"/>
    <w:rsid w:val="00AB0037"/>
    <w:rsid w:val="00AB3CA7"/>
    <w:rsid w:val="00AC6B83"/>
    <w:rsid w:val="00AD49F8"/>
    <w:rsid w:val="00B031ED"/>
    <w:rsid w:val="00B204D1"/>
    <w:rsid w:val="00B41C15"/>
    <w:rsid w:val="00B4744E"/>
    <w:rsid w:val="00B50C99"/>
    <w:rsid w:val="00BF1A66"/>
    <w:rsid w:val="00C1227D"/>
    <w:rsid w:val="00C1645D"/>
    <w:rsid w:val="00C35814"/>
    <w:rsid w:val="00C56226"/>
    <w:rsid w:val="00C6406B"/>
    <w:rsid w:val="00C6697F"/>
    <w:rsid w:val="00C73B6D"/>
    <w:rsid w:val="00CA7D46"/>
    <w:rsid w:val="00CC0241"/>
    <w:rsid w:val="00CE2DB2"/>
    <w:rsid w:val="00D11639"/>
    <w:rsid w:val="00D16AA9"/>
    <w:rsid w:val="00D25D74"/>
    <w:rsid w:val="00D57631"/>
    <w:rsid w:val="00D65129"/>
    <w:rsid w:val="00D93115"/>
    <w:rsid w:val="00D94144"/>
    <w:rsid w:val="00DB4C71"/>
    <w:rsid w:val="00DC436B"/>
    <w:rsid w:val="00DE2D8A"/>
    <w:rsid w:val="00DF1A12"/>
    <w:rsid w:val="00E01366"/>
    <w:rsid w:val="00E11D2F"/>
    <w:rsid w:val="00E2011E"/>
    <w:rsid w:val="00E5234F"/>
    <w:rsid w:val="00E5774B"/>
    <w:rsid w:val="00E57BA7"/>
    <w:rsid w:val="00E848B3"/>
    <w:rsid w:val="00EB2441"/>
    <w:rsid w:val="00EF7C8F"/>
    <w:rsid w:val="00F54BA5"/>
    <w:rsid w:val="00F6484A"/>
    <w:rsid w:val="00F82D3D"/>
    <w:rsid w:val="00F91C12"/>
    <w:rsid w:val="00FA37E3"/>
    <w:rsid w:val="00FC13DB"/>
    <w:rsid w:val="00FC7D43"/>
    <w:rsid w:val="00FD50DB"/>
    <w:rsid w:val="00FD68EF"/>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C6697F"/>
    <w:pPr>
      <w:spacing w:after="0" w:line="240" w:lineRule="auto"/>
    </w:pPr>
  </w:style>
  <w:style w:type="character" w:styleId="Refdecomentario">
    <w:name w:val="annotation reference"/>
    <w:basedOn w:val="Fuentedeprrafopredeter"/>
    <w:uiPriority w:val="99"/>
    <w:semiHidden/>
    <w:unhideWhenUsed/>
    <w:rsid w:val="009F1EB6"/>
    <w:rPr>
      <w:sz w:val="16"/>
      <w:szCs w:val="16"/>
    </w:rPr>
  </w:style>
  <w:style w:type="paragraph" w:styleId="Textocomentario">
    <w:name w:val="annotation text"/>
    <w:basedOn w:val="Normal"/>
    <w:link w:val="TextocomentarioCar"/>
    <w:uiPriority w:val="99"/>
    <w:unhideWhenUsed/>
    <w:rsid w:val="009F1EB6"/>
    <w:pPr>
      <w:spacing w:line="240" w:lineRule="auto"/>
    </w:pPr>
    <w:rPr>
      <w:sz w:val="20"/>
      <w:szCs w:val="20"/>
    </w:rPr>
  </w:style>
  <w:style w:type="character" w:customStyle="1" w:styleId="TextocomentarioCar">
    <w:name w:val="Texto comentario Car"/>
    <w:basedOn w:val="Fuentedeprrafopredeter"/>
    <w:link w:val="Textocomentario"/>
    <w:uiPriority w:val="99"/>
    <w:rsid w:val="009F1EB6"/>
    <w:rPr>
      <w:sz w:val="20"/>
      <w:szCs w:val="20"/>
    </w:rPr>
  </w:style>
  <w:style w:type="paragraph" w:styleId="Asuntodelcomentario">
    <w:name w:val="annotation subject"/>
    <w:basedOn w:val="Textocomentario"/>
    <w:next w:val="Textocomentario"/>
    <w:link w:val="AsuntodelcomentarioCar"/>
    <w:uiPriority w:val="99"/>
    <w:semiHidden/>
    <w:unhideWhenUsed/>
    <w:rsid w:val="009F1EB6"/>
    <w:rPr>
      <w:b/>
      <w:bCs/>
    </w:rPr>
  </w:style>
  <w:style w:type="character" w:customStyle="1" w:styleId="AsuntodelcomentarioCar">
    <w:name w:val="Asunto del comentario Car"/>
    <w:basedOn w:val="TextocomentarioCar"/>
    <w:link w:val="Asuntodelcomentario"/>
    <w:uiPriority w:val="99"/>
    <w:semiHidden/>
    <w:rsid w:val="009F1E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04C1-03FC-4FF2-BD66-38FB6C91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3658</Words>
  <Characters>20123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28</cp:revision>
  <dcterms:created xsi:type="dcterms:W3CDTF">2022-12-01T20:53:00Z</dcterms:created>
  <dcterms:modified xsi:type="dcterms:W3CDTF">2023-06-26T16:33:00Z</dcterms:modified>
</cp:coreProperties>
</file>