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DE2D8A" w:rsidRPr="00DF1A12" w14:paraId="68950F46" w14:textId="77777777" w:rsidTr="00501759">
        <w:trPr>
          <w:trHeight w:val="401"/>
        </w:trPr>
        <w:tc>
          <w:tcPr>
            <w:tcW w:w="1413" w:type="dxa"/>
            <w:vAlign w:val="center"/>
          </w:tcPr>
          <w:p w14:paraId="5382E33E" w14:textId="473C8DEA" w:rsidR="00DE2D8A" w:rsidRPr="00E5234F" w:rsidRDefault="00DE2D8A" w:rsidP="009F6EE7">
            <w:pPr>
              <w:rPr>
                <w:rFonts w:ascii="Arial" w:hAnsi="Arial" w:cs="Arial"/>
                <w:b/>
                <w:bCs/>
                <w:sz w:val="16"/>
                <w:szCs w:val="16"/>
              </w:rPr>
            </w:pPr>
            <w:r w:rsidRPr="00E5234F">
              <w:rPr>
                <w:rFonts w:ascii="Arial" w:hAnsi="Arial" w:cs="Arial"/>
                <w:b/>
                <w:bCs/>
                <w:sz w:val="16"/>
                <w:szCs w:val="16"/>
              </w:rPr>
              <w:t>Sector Responsable</w:t>
            </w:r>
          </w:p>
        </w:tc>
        <w:tc>
          <w:tcPr>
            <w:tcW w:w="566" w:type="dxa"/>
            <w:shd w:val="clear" w:color="auto" w:fill="auto"/>
            <w:vAlign w:val="center"/>
          </w:tcPr>
          <w:p w14:paraId="4CE4646E" w14:textId="08D5E48F" w:rsidR="00DE2D8A" w:rsidRPr="00E5234F" w:rsidRDefault="00E5234F" w:rsidP="00FA37E3">
            <w:pPr>
              <w:jc w:val="center"/>
              <w:rPr>
                <w:rFonts w:ascii="Arial" w:hAnsi="Arial" w:cs="Arial"/>
                <w:sz w:val="16"/>
                <w:szCs w:val="16"/>
              </w:rPr>
            </w:pPr>
            <w:r w:rsidRPr="00E5234F">
              <w:rPr>
                <w:rFonts w:ascii="Arial" w:hAnsi="Arial" w:cs="Arial"/>
                <w:sz w:val="16"/>
                <w:szCs w:val="16"/>
              </w:rPr>
              <w:t>10</w:t>
            </w:r>
          </w:p>
        </w:tc>
        <w:tc>
          <w:tcPr>
            <w:tcW w:w="7514" w:type="dxa"/>
            <w:shd w:val="clear" w:color="auto" w:fill="auto"/>
            <w:vAlign w:val="center"/>
          </w:tcPr>
          <w:p w14:paraId="70EDA9B9" w14:textId="64292507" w:rsidR="00DE2D8A" w:rsidRPr="00E5234F" w:rsidRDefault="00442BBE">
            <w:pPr>
              <w:rPr>
                <w:rFonts w:ascii="Arial" w:hAnsi="Arial" w:cs="Arial"/>
                <w:sz w:val="16"/>
                <w:szCs w:val="16"/>
              </w:rPr>
            </w:pPr>
            <w:r w:rsidRPr="00E5234F">
              <w:rPr>
                <w:rFonts w:ascii="Arial" w:hAnsi="Arial" w:cs="Arial"/>
                <w:sz w:val="16"/>
                <w:szCs w:val="16"/>
              </w:rPr>
              <w:t>Educación</w:t>
            </w:r>
          </w:p>
        </w:tc>
      </w:tr>
      <w:tr w:rsidR="00DE2D8A" w:rsidRPr="00DF1A12" w14:paraId="6C0C447A" w14:textId="77777777" w:rsidTr="00501759">
        <w:trPr>
          <w:trHeight w:val="423"/>
        </w:trPr>
        <w:tc>
          <w:tcPr>
            <w:tcW w:w="1413" w:type="dxa"/>
            <w:vAlign w:val="center"/>
          </w:tcPr>
          <w:p w14:paraId="3977CE04" w14:textId="72468A0B" w:rsidR="00DE2D8A" w:rsidRPr="00E5234F" w:rsidRDefault="00B4744E" w:rsidP="009F6EE7">
            <w:pPr>
              <w:rPr>
                <w:rFonts w:ascii="Arial" w:hAnsi="Arial" w:cs="Arial"/>
                <w:b/>
                <w:bCs/>
                <w:sz w:val="16"/>
                <w:szCs w:val="16"/>
              </w:rPr>
            </w:pPr>
            <w:r w:rsidRPr="00E5234F">
              <w:rPr>
                <w:rFonts w:ascii="Arial" w:hAnsi="Arial" w:cs="Arial"/>
                <w:b/>
                <w:bCs/>
                <w:sz w:val="16"/>
                <w:szCs w:val="16"/>
              </w:rPr>
              <w:t>Nombre del Indicador</w:t>
            </w:r>
            <w:r w:rsidRPr="00E5234F">
              <w:rPr>
                <w:rFonts w:ascii="Arial" w:hAnsi="Arial" w:cs="Arial"/>
                <w:b/>
                <w:bCs/>
                <w:color w:val="70AD47" w:themeColor="accent6"/>
                <w:sz w:val="16"/>
                <w:szCs w:val="16"/>
              </w:rPr>
              <w:t xml:space="preserve"> </w:t>
            </w:r>
          </w:p>
        </w:tc>
        <w:tc>
          <w:tcPr>
            <w:tcW w:w="566" w:type="dxa"/>
            <w:shd w:val="clear" w:color="auto" w:fill="auto"/>
            <w:vAlign w:val="center"/>
          </w:tcPr>
          <w:p w14:paraId="3172FC95" w14:textId="7E3136CF" w:rsidR="00DE2D8A" w:rsidRPr="00E5234F" w:rsidRDefault="00E5234F" w:rsidP="00FA37E3">
            <w:pPr>
              <w:jc w:val="center"/>
              <w:rPr>
                <w:rFonts w:ascii="Arial" w:hAnsi="Arial" w:cs="Arial"/>
                <w:sz w:val="16"/>
                <w:szCs w:val="16"/>
              </w:rPr>
            </w:pPr>
            <w:r w:rsidRPr="00E5234F">
              <w:rPr>
                <w:rFonts w:ascii="Arial" w:hAnsi="Arial" w:cs="Arial"/>
                <w:sz w:val="16"/>
                <w:szCs w:val="16"/>
              </w:rPr>
              <w:t>422</w:t>
            </w:r>
          </w:p>
        </w:tc>
        <w:tc>
          <w:tcPr>
            <w:tcW w:w="7514" w:type="dxa"/>
            <w:shd w:val="clear" w:color="auto" w:fill="auto"/>
            <w:vAlign w:val="center"/>
          </w:tcPr>
          <w:p w14:paraId="2350C117" w14:textId="78221603" w:rsidR="00DE2D8A" w:rsidRPr="00E5234F" w:rsidRDefault="00442BBE">
            <w:pPr>
              <w:rPr>
                <w:rFonts w:ascii="Arial" w:hAnsi="Arial" w:cs="Arial"/>
                <w:sz w:val="16"/>
                <w:szCs w:val="16"/>
              </w:rPr>
            </w:pPr>
            <w:r w:rsidRPr="00E5234F">
              <w:rPr>
                <w:rFonts w:ascii="Arial" w:hAnsi="Arial" w:cs="Arial"/>
                <w:sz w:val="16"/>
                <w:szCs w:val="16"/>
              </w:rPr>
              <w:t>Porcentaje de unidades productoras con el servicio de educación inicial con capacidad instalada inadecuada</w:t>
            </w:r>
          </w:p>
        </w:tc>
      </w:tr>
      <w:tr w:rsidR="00FA37E3" w:rsidRPr="00DF1A12" w14:paraId="11A718E3" w14:textId="77777777" w:rsidTr="00501759">
        <w:trPr>
          <w:trHeight w:val="448"/>
        </w:trPr>
        <w:tc>
          <w:tcPr>
            <w:tcW w:w="1413" w:type="dxa"/>
            <w:vAlign w:val="center"/>
          </w:tcPr>
          <w:p w14:paraId="57EC8604" w14:textId="7E21759A" w:rsidR="00FA37E3" w:rsidRPr="00E5234F" w:rsidRDefault="00FA37E3" w:rsidP="009F6EE7">
            <w:pPr>
              <w:rPr>
                <w:rFonts w:ascii="Arial" w:hAnsi="Arial" w:cs="Arial"/>
                <w:sz w:val="16"/>
                <w:szCs w:val="16"/>
              </w:rPr>
            </w:pPr>
            <w:r w:rsidRPr="00E5234F">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E5234F" w:rsidRDefault="00442BBE">
            <w:pPr>
              <w:rPr>
                <w:rFonts w:ascii="Arial" w:hAnsi="Arial" w:cs="Arial"/>
                <w:sz w:val="16"/>
                <w:szCs w:val="16"/>
              </w:rPr>
            </w:pPr>
            <w:r w:rsidRPr="00E5234F">
              <w:rPr>
                <w:rFonts w:ascii="Arial" w:hAnsi="Arial" w:cs="Arial"/>
                <w:sz w:val="16"/>
                <w:szCs w:val="16"/>
              </w:rPr>
              <w:t>Calidad</w:t>
            </w:r>
          </w:p>
        </w:tc>
      </w:tr>
      <w:tr w:rsidR="00DE2D8A" w:rsidRPr="00DF1A12" w14:paraId="0C106DDE" w14:textId="77777777" w:rsidTr="00501759">
        <w:trPr>
          <w:trHeight w:val="430"/>
        </w:trPr>
        <w:tc>
          <w:tcPr>
            <w:tcW w:w="1413" w:type="dxa"/>
            <w:vAlign w:val="center"/>
          </w:tcPr>
          <w:p w14:paraId="52728A04" w14:textId="6694EFAD" w:rsidR="00DE2D8A" w:rsidRPr="00E5234F" w:rsidRDefault="00DE2D8A" w:rsidP="009F6EE7">
            <w:pPr>
              <w:rPr>
                <w:rFonts w:ascii="Arial" w:hAnsi="Arial" w:cs="Arial"/>
                <w:sz w:val="16"/>
                <w:szCs w:val="16"/>
              </w:rPr>
            </w:pPr>
            <w:r w:rsidRPr="00E5234F">
              <w:rPr>
                <w:rFonts w:ascii="Arial" w:hAnsi="Arial" w:cs="Arial"/>
                <w:b/>
                <w:bCs/>
                <w:sz w:val="16"/>
                <w:szCs w:val="16"/>
              </w:rPr>
              <w:t>Unidad de Medida</w:t>
            </w:r>
          </w:p>
        </w:tc>
        <w:tc>
          <w:tcPr>
            <w:tcW w:w="566" w:type="dxa"/>
            <w:shd w:val="clear" w:color="auto" w:fill="auto"/>
            <w:vAlign w:val="center"/>
          </w:tcPr>
          <w:p w14:paraId="2FDA500C" w14:textId="33657A1B" w:rsidR="00DE2D8A" w:rsidRPr="00E5234F" w:rsidRDefault="00E5234F" w:rsidP="00FA37E3">
            <w:pPr>
              <w:jc w:val="center"/>
              <w:rPr>
                <w:rFonts w:ascii="Arial" w:hAnsi="Arial" w:cs="Arial"/>
                <w:sz w:val="16"/>
                <w:szCs w:val="16"/>
              </w:rPr>
            </w:pPr>
            <w:r w:rsidRPr="00E5234F">
              <w:rPr>
                <w:rFonts w:ascii="Arial" w:hAnsi="Arial" w:cs="Arial"/>
                <w:sz w:val="16"/>
                <w:szCs w:val="16"/>
              </w:rPr>
              <w:t>327</w:t>
            </w:r>
          </w:p>
        </w:tc>
        <w:tc>
          <w:tcPr>
            <w:tcW w:w="7514" w:type="dxa"/>
            <w:shd w:val="clear" w:color="auto" w:fill="auto"/>
            <w:vAlign w:val="center"/>
          </w:tcPr>
          <w:p w14:paraId="653DB9DE" w14:textId="75103E1D" w:rsidR="00DE2D8A" w:rsidRPr="00E5234F" w:rsidRDefault="00442BBE">
            <w:pPr>
              <w:rPr>
                <w:rFonts w:ascii="Arial" w:hAnsi="Arial" w:cs="Arial"/>
                <w:sz w:val="16"/>
                <w:szCs w:val="16"/>
              </w:rPr>
            </w:pPr>
            <w:r w:rsidRPr="00E5234F">
              <w:rPr>
                <w:rFonts w:ascii="Arial" w:hAnsi="Arial" w:cs="Arial"/>
                <w:sz w:val="16"/>
                <w:szCs w:val="16"/>
              </w:rPr>
              <w:t>Unidad Productora</w:t>
            </w:r>
          </w:p>
        </w:tc>
      </w:tr>
      <w:tr w:rsidR="00C73B6D" w:rsidRPr="00DF1A12" w14:paraId="35F1A4CD" w14:textId="77777777" w:rsidTr="00501759">
        <w:trPr>
          <w:trHeight w:val="430"/>
        </w:trPr>
        <w:tc>
          <w:tcPr>
            <w:tcW w:w="1413" w:type="dxa"/>
            <w:vAlign w:val="center"/>
          </w:tcPr>
          <w:p w14:paraId="3A2665BE" w14:textId="551D1317" w:rsidR="00C73B6D" w:rsidRPr="00E5234F" w:rsidRDefault="00C73B6D" w:rsidP="009F6EE7">
            <w:pPr>
              <w:rPr>
                <w:rFonts w:ascii="Arial" w:hAnsi="Arial" w:cs="Arial"/>
                <w:b/>
                <w:bCs/>
                <w:sz w:val="16"/>
                <w:szCs w:val="16"/>
              </w:rPr>
            </w:pPr>
            <w:r w:rsidRPr="00E5234F">
              <w:rPr>
                <w:rFonts w:ascii="Arial" w:hAnsi="Arial" w:cs="Arial"/>
                <w:b/>
                <w:bCs/>
                <w:sz w:val="16"/>
                <w:szCs w:val="16"/>
              </w:rPr>
              <w:t>Nivel de desagregación</w:t>
            </w:r>
          </w:p>
        </w:tc>
        <w:tc>
          <w:tcPr>
            <w:tcW w:w="8080" w:type="dxa"/>
            <w:gridSpan w:val="2"/>
            <w:shd w:val="clear" w:color="auto" w:fill="auto"/>
            <w:vAlign w:val="center"/>
          </w:tcPr>
          <w:p w14:paraId="76D3C9CD" w14:textId="7E5A0F2C" w:rsidR="00C73B6D" w:rsidRPr="00E5234F" w:rsidRDefault="00E5234F">
            <w:pPr>
              <w:rPr>
                <w:rFonts w:ascii="Arial" w:hAnsi="Arial" w:cs="Arial"/>
                <w:sz w:val="16"/>
                <w:szCs w:val="16"/>
              </w:rPr>
            </w:pPr>
            <w:r w:rsidRPr="00E5234F">
              <w:rPr>
                <w:rFonts w:ascii="Arial" w:hAnsi="Arial" w:cs="Arial"/>
                <w:sz w:val="16"/>
                <w:szCs w:val="16"/>
              </w:rPr>
              <w:t>Distrital</w:t>
            </w:r>
          </w:p>
        </w:tc>
      </w:tr>
    </w:tbl>
    <w:p w14:paraId="49FC6AB5" w14:textId="15D377CD" w:rsidR="00EF7C8F" w:rsidRPr="00DF1A12"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E01366" w:rsidRPr="001D5D9B"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E01366" w:rsidRDefault="00E01366" w:rsidP="00E01366">
            <w:pPr>
              <w:rPr>
                <w:rFonts w:ascii="Arial" w:hAnsi="Arial" w:cs="Arial"/>
                <w:b/>
                <w:bCs/>
              </w:rPr>
            </w:pPr>
            <w:r w:rsidRPr="00E01366">
              <w:rPr>
                <w:rFonts w:ascii="Arial" w:hAnsi="Arial" w:cs="Arial"/>
                <w:b/>
                <w:bCs/>
              </w:rPr>
              <w:t>Servicio</w:t>
            </w:r>
            <w:r>
              <w:rPr>
                <w:rFonts w:ascii="Arial" w:hAnsi="Arial" w:cs="Arial"/>
                <w:b/>
                <w:bCs/>
              </w:rPr>
              <w:t xml:space="preserve"> y Tipología</w:t>
            </w:r>
          </w:p>
        </w:tc>
      </w:tr>
      <w:tr w:rsidR="00E01366" w:rsidRPr="001D5D9B"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3261A2" w:rsidRDefault="00E01366" w:rsidP="00B47531">
            <w:pPr>
              <w:jc w:val="center"/>
              <w:rPr>
                <w:rFonts w:ascii="Arial" w:hAnsi="Arial" w:cs="Arial"/>
                <w:b/>
                <w:bCs/>
                <w:sz w:val="16"/>
                <w:szCs w:val="16"/>
              </w:rPr>
            </w:pPr>
            <w:r w:rsidRPr="003261A2">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3261A2" w:rsidRDefault="00E01366" w:rsidP="00B47531">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FC7D43" w:rsidRDefault="00E01366" w:rsidP="00B47531">
            <w:pPr>
              <w:jc w:val="center"/>
              <w:rPr>
                <w:rFonts w:ascii="Arial" w:hAnsi="Arial" w:cs="Arial"/>
                <w:b/>
                <w:bCs/>
                <w:sz w:val="16"/>
                <w:szCs w:val="16"/>
              </w:rPr>
            </w:pPr>
            <w:r w:rsidRPr="00FC7D43">
              <w:rPr>
                <w:rFonts w:ascii="Arial" w:hAnsi="Arial" w:cs="Arial"/>
                <w:b/>
                <w:bCs/>
                <w:sz w:val="16"/>
                <w:szCs w:val="16"/>
              </w:rPr>
              <w:t>Tipología</w:t>
            </w:r>
          </w:p>
        </w:tc>
      </w:tr>
      <w:tr w:rsidR="00E01366" w:rsidRPr="001D5D9B"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39A77F49" w:rsidR="00E01366" w:rsidRPr="003261A2" w:rsidRDefault="00E5234F" w:rsidP="00B47531">
            <w:pPr>
              <w:rPr>
                <w:rFonts w:ascii="Arial" w:hAnsi="Arial" w:cs="Arial"/>
                <w:sz w:val="16"/>
                <w:szCs w:val="16"/>
              </w:rPr>
            </w:pPr>
            <w:r>
              <w:rPr>
                <w:rFonts w:ascii="Arial" w:hAnsi="Arial" w:cs="Arial"/>
                <w:sz w:val="16"/>
                <w:szCs w:val="16"/>
              </w:rPr>
              <w:t>311</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766F24FE" w:rsidR="00E01366" w:rsidRPr="003261A2" w:rsidRDefault="00442BBE" w:rsidP="00B47531">
            <w:pPr>
              <w:rPr>
                <w:rFonts w:ascii="Arial" w:hAnsi="Arial" w:cs="Arial"/>
                <w:sz w:val="16"/>
                <w:szCs w:val="16"/>
              </w:rPr>
            </w:pPr>
            <w:r w:rsidRPr="00442BBE">
              <w:rPr>
                <w:rFonts w:ascii="Arial" w:hAnsi="Arial" w:cs="Arial"/>
                <w:sz w:val="16"/>
                <w:szCs w:val="16"/>
              </w:rPr>
              <w:t>Servicio de Educación Inicial</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3261A2" w:rsidRDefault="00E01366" w:rsidP="00B47531">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27B622F8" w:rsidR="00E01366" w:rsidRPr="003261A2" w:rsidRDefault="00E5234F" w:rsidP="00B47531">
            <w:pPr>
              <w:rPr>
                <w:rFonts w:ascii="Arial" w:hAnsi="Arial" w:cs="Arial"/>
                <w:sz w:val="16"/>
                <w:szCs w:val="16"/>
              </w:rPr>
            </w:pPr>
            <w:r>
              <w:rPr>
                <w:rFonts w:ascii="Arial" w:hAnsi="Arial" w:cs="Arial"/>
                <w:sz w:val="16"/>
                <w:szCs w:val="16"/>
              </w:rPr>
              <w:t>368</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7588FB42" w:rsidR="00E01366" w:rsidRPr="003261A2" w:rsidRDefault="00442BBE" w:rsidP="00B47531">
            <w:pPr>
              <w:rPr>
                <w:rFonts w:ascii="Arial" w:hAnsi="Arial" w:cs="Arial"/>
                <w:sz w:val="16"/>
                <w:szCs w:val="16"/>
              </w:rPr>
            </w:pPr>
            <w:r w:rsidRPr="00442BBE">
              <w:rPr>
                <w:rFonts w:ascii="Arial" w:hAnsi="Arial" w:cs="Arial"/>
                <w:sz w:val="16"/>
                <w:szCs w:val="16"/>
              </w:rPr>
              <w:t>Educación Inicial</w:t>
            </w:r>
          </w:p>
        </w:tc>
      </w:tr>
      <w:tr w:rsidR="00E01366" w:rsidRPr="001D5D9B"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3261A2" w:rsidRDefault="00E01366" w:rsidP="00B47531">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3261A2" w:rsidRDefault="00E01366" w:rsidP="00B47531">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3261A2" w:rsidRDefault="00E01366" w:rsidP="00B47531">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3261A2" w:rsidRDefault="00E01366" w:rsidP="00B47531">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3261A2" w:rsidRDefault="00E01366" w:rsidP="00B47531">
            <w:pPr>
              <w:rPr>
                <w:rFonts w:ascii="Arial" w:hAnsi="Arial" w:cs="Arial"/>
                <w:sz w:val="16"/>
                <w:szCs w:val="16"/>
              </w:rPr>
            </w:pPr>
          </w:p>
        </w:tc>
      </w:tr>
      <w:tr w:rsidR="00E01366" w:rsidRPr="001D5D9B"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3261A2" w:rsidRDefault="00E01366" w:rsidP="00B47531">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3261A2" w:rsidRDefault="00E01366" w:rsidP="00B47531">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3261A2" w:rsidRDefault="00E01366" w:rsidP="00B47531">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3261A2" w:rsidRDefault="00E01366" w:rsidP="00B47531">
            <w:pPr>
              <w:rPr>
                <w:rFonts w:ascii="Arial" w:hAnsi="Arial" w:cs="Arial"/>
                <w:sz w:val="16"/>
                <w:szCs w:val="16"/>
              </w:rPr>
            </w:pPr>
            <w:r w:rsidRPr="00E5234F">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3261A2" w:rsidRDefault="00E01366" w:rsidP="00B47531">
            <w:pPr>
              <w:rPr>
                <w:rFonts w:ascii="Arial" w:hAnsi="Arial" w:cs="Arial"/>
                <w:sz w:val="16"/>
                <w:szCs w:val="16"/>
              </w:rPr>
            </w:pPr>
          </w:p>
        </w:tc>
      </w:tr>
    </w:tbl>
    <w:p w14:paraId="648C5075" w14:textId="0786E3B6" w:rsidR="00E01366"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E01366" w:rsidRPr="00FF384E"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FF384E" w:rsidRDefault="00E01366" w:rsidP="00B47531">
            <w:pPr>
              <w:rPr>
                <w:rFonts w:ascii="Arial" w:hAnsi="Arial" w:cs="Arial"/>
                <w:b/>
                <w:bCs/>
                <w:szCs w:val="20"/>
              </w:rPr>
            </w:pPr>
            <w:r w:rsidRPr="002C6B38">
              <w:rPr>
                <w:rFonts w:ascii="Arial" w:hAnsi="Arial" w:cs="Arial"/>
                <w:b/>
                <w:bCs/>
                <w:szCs w:val="20"/>
              </w:rPr>
              <w:t xml:space="preserve">Competencia </w:t>
            </w:r>
            <w:r w:rsidRPr="00FF384E">
              <w:rPr>
                <w:rFonts w:ascii="Arial" w:hAnsi="Arial" w:cs="Arial"/>
                <w:b/>
                <w:bCs/>
                <w:szCs w:val="20"/>
              </w:rPr>
              <w:t>del Servicio</w:t>
            </w:r>
          </w:p>
        </w:tc>
      </w:tr>
      <w:tr w:rsidR="00E01366" w:rsidRPr="00FC7D43"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3261A2" w:rsidRDefault="00E01366" w:rsidP="00B47531">
            <w:pPr>
              <w:jc w:val="center"/>
              <w:rPr>
                <w:rFonts w:ascii="Arial" w:hAnsi="Arial" w:cs="Arial"/>
                <w:b/>
                <w:bCs/>
                <w:sz w:val="16"/>
                <w:szCs w:val="18"/>
              </w:rPr>
            </w:pPr>
            <w:r w:rsidRPr="003261A2">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3261A2" w:rsidRDefault="00E01366" w:rsidP="00B47531">
            <w:pPr>
              <w:jc w:val="center"/>
              <w:rPr>
                <w:rFonts w:ascii="Arial" w:hAnsi="Arial" w:cs="Arial"/>
                <w:b/>
                <w:bCs/>
                <w:sz w:val="16"/>
                <w:szCs w:val="18"/>
              </w:rPr>
            </w:pPr>
            <w:r w:rsidRPr="003261A2">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3261A2" w:rsidRDefault="00E01366" w:rsidP="00B47531">
            <w:pPr>
              <w:jc w:val="center"/>
              <w:rPr>
                <w:rFonts w:ascii="Arial" w:hAnsi="Arial" w:cs="Arial"/>
                <w:b/>
                <w:bCs/>
                <w:sz w:val="16"/>
                <w:szCs w:val="18"/>
              </w:rPr>
            </w:pPr>
            <w:r w:rsidRPr="00FC7D43">
              <w:rPr>
                <w:rFonts w:ascii="Arial" w:hAnsi="Arial" w:cs="Arial"/>
                <w:b/>
                <w:bCs/>
                <w:sz w:val="16"/>
                <w:szCs w:val="18"/>
              </w:rPr>
              <w:t>Gobierno Local</w:t>
            </w:r>
          </w:p>
          <w:p w14:paraId="4FCF7C93" w14:textId="77777777" w:rsidR="00E01366" w:rsidRPr="003261A2" w:rsidRDefault="00E01366" w:rsidP="00B47531">
            <w:pPr>
              <w:jc w:val="center"/>
              <w:rPr>
                <w:rFonts w:ascii="Arial" w:hAnsi="Arial" w:cs="Arial"/>
                <w:b/>
                <w:bCs/>
                <w:sz w:val="16"/>
                <w:szCs w:val="18"/>
              </w:rPr>
            </w:pPr>
            <w:proofErr w:type="spellStart"/>
            <w:r w:rsidRPr="003261A2">
              <w:rPr>
                <w:rFonts w:ascii="Arial" w:hAnsi="Arial" w:cs="Arial"/>
                <w:b/>
                <w:bCs/>
                <w:sz w:val="16"/>
                <w:szCs w:val="18"/>
              </w:rPr>
              <w:t>Mun</w:t>
            </w:r>
            <w:r>
              <w:rPr>
                <w:rFonts w:ascii="Arial" w:hAnsi="Arial" w:cs="Arial"/>
                <w:b/>
                <w:bCs/>
                <w:sz w:val="16"/>
                <w:szCs w:val="18"/>
              </w:rPr>
              <w:t>icip</w:t>
            </w:r>
            <w:proofErr w:type="spellEnd"/>
            <w:r w:rsidRPr="003261A2">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3261A2" w:rsidRDefault="00E01366" w:rsidP="00B47531">
            <w:pPr>
              <w:jc w:val="center"/>
              <w:rPr>
                <w:rFonts w:ascii="Arial" w:hAnsi="Arial" w:cs="Arial"/>
                <w:b/>
                <w:bCs/>
                <w:sz w:val="16"/>
                <w:szCs w:val="18"/>
              </w:rPr>
            </w:pPr>
            <w:r w:rsidRPr="00FC7D43">
              <w:rPr>
                <w:rFonts w:ascii="Arial" w:hAnsi="Arial" w:cs="Arial"/>
                <w:b/>
                <w:bCs/>
                <w:sz w:val="16"/>
                <w:szCs w:val="18"/>
              </w:rPr>
              <w:t>Gobierno Local</w:t>
            </w:r>
          </w:p>
          <w:p w14:paraId="01206F40" w14:textId="77777777" w:rsidR="00E01366" w:rsidRPr="003261A2" w:rsidRDefault="00E01366" w:rsidP="00B47531">
            <w:pPr>
              <w:jc w:val="center"/>
              <w:rPr>
                <w:rFonts w:ascii="Arial" w:hAnsi="Arial" w:cs="Arial"/>
                <w:b/>
                <w:bCs/>
                <w:sz w:val="16"/>
                <w:szCs w:val="18"/>
              </w:rPr>
            </w:pPr>
            <w:proofErr w:type="spellStart"/>
            <w:r w:rsidRPr="003261A2">
              <w:rPr>
                <w:rFonts w:ascii="Arial" w:hAnsi="Arial" w:cs="Arial"/>
                <w:b/>
                <w:bCs/>
                <w:sz w:val="16"/>
                <w:szCs w:val="18"/>
              </w:rPr>
              <w:t>Mun</w:t>
            </w:r>
            <w:r>
              <w:rPr>
                <w:rFonts w:ascii="Arial" w:hAnsi="Arial" w:cs="Arial"/>
                <w:b/>
                <w:bCs/>
                <w:sz w:val="16"/>
                <w:szCs w:val="18"/>
              </w:rPr>
              <w:t>icip</w:t>
            </w:r>
            <w:proofErr w:type="spellEnd"/>
            <w:r w:rsidRPr="003261A2">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FC7D43" w:rsidRDefault="00E01366" w:rsidP="00B47531">
            <w:pPr>
              <w:jc w:val="center"/>
              <w:rPr>
                <w:rFonts w:ascii="Arial" w:hAnsi="Arial" w:cs="Arial"/>
                <w:b/>
                <w:bCs/>
                <w:sz w:val="16"/>
                <w:szCs w:val="18"/>
              </w:rPr>
            </w:pPr>
            <w:r w:rsidRPr="00FC7D43">
              <w:rPr>
                <w:rFonts w:ascii="Arial" w:hAnsi="Arial" w:cs="Arial"/>
                <w:b/>
                <w:bCs/>
                <w:sz w:val="16"/>
                <w:szCs w:val="18"/>
              </w:rPr>
              <w:t>Empresa</w:t>
            </w:r>
          </w:p>
        </w:tc>
      </w:tr>
      <w:tr w:rsidR="00E01366" w:rsidRPr="003261A2" w14:paraId="07F29AB9" w14:textId="77777777" w:rsidTr="00501759">
        <w:trPr>
          <w:trHeight w:val="84"/>
        </w:trPr>
        <w:tc>
          <w:tcPr>
            <w:tcW w:w="750" w:type="dxa"/>
            <w:tcBorders>
              <w:left w:val="single" w:sz="4" w:space="0" w:color="auto"/>
            </w:tcBorders>
            <w:vAlign w:val="center"/>
          </w:tcPr>
          <w:p w14:paraId="223AAEC1" w14:textId="77777777" w:rsidR="00E01366" w:rsidRPr="001D5D9B" w:rsidRDefault="00E01366" w:rsidP="00B47531">
            <w:pPr>
              <w:rPr>
                <w:rFonts w:ascii="Arial" w:hAnsi="Arial" w:cs="Arial"/>
                <w:sz w:val="16"/>
                <w:szCs w:val="16"/>
              </w:rPr>
            </w:pPr>
          </w:p>
        </w:tc>
        <w:tc>
          <w:tcPr>
            <w:tcW w:w="580" w:type="dxa"/>
            <w:tcBorders>
              <w:bottom w:val="single" w:sz="4" w:space="0" w:color="auto"/>
            </w:tcBorders>
            <w:vAlign w:val="center"/>
          </w:tcPr>
          <w:p w14:paraId="404EF150" w14:textId="77777777" w:rsidR="00E01366" w:rsidRPr="001D5D9B" w:rsidRDefault="00E01366" w:rsidP="00B47531">
            <w:pPr>
              <w:rPr>
                <w:rFonts w:ascii="Arial" w:hAnsi="Arial" w:cs="Arial"/>
                <w:sz w:val="16"/>
                <w:szCs w:val="16"/>
              </w:rPr>
            </w:pPr>
          </w:p>
        </w:tc>
        <w:tc>
          <w:tcPr>
            <w:tcW w:w="650" w:type="dxa"/>
            <w:vAlign w:val="center"/>
          </w:tcPr>
          <w:p w14:paraId="2F8C63AE" w14:textId="77777777" w:rsidR="00E01366" w:rsidRPr="003261A2" w:rsidRDefault="00E01366" w:rsidP="00B47531">
            <w:pPr>
              <w:rPr>
                <w:rFonts w:ascii="Arial" w:hAnsi="Arial" w:cs="Arial"/>
                <w:sz w:val="16"/>
                <w:szCs w:val="18"/>
              </w:rPr>
            </w:pPr>
          </w:p>
        </w:tc>
        <w:tc>
          <w:tcPr>
            <w:tcW w:w="681" w:type="dxa"/>
            <w:vAlign w:val="center"/>
          </w:tcPr>
          <w:p w14:paraId="37D8C6FB" w14:textId="77777777" w:rsidR="00E01366" w:rsidRPr="003261A2" w:rsidRDefault="00E01366" w:rsidP="00B47531">
            <w:pPr>
              <w:rPr>
                <w:rFonts w:ascii="Arial" w:hAnsi="Arial" w:cs="Arial"/>
                <w:sz w:val="16"/>
                <w:szCs w:val="18"/>
              </w:rPr>
            </w:pPr>
          </w:p>
        </w:tc>
        <w:tc>
          <w:tcPr>
            <w:tcW w:w="591" w:type="dxa"/>
            <w:tcBorders>
              <w:bottom w:val="single" w:sz="4" w:space="0" w:color="auto"/>
            </w:tcBorders>
            <w:vAlign w:val="center"/>
          </w:tcPr>
          <w:p w14:paraId="12564A93" w14:textId="77777777" w:rsidR="00E01366" w:rsidRPr="003261A2" w:rsidRDefault="00E01366" w:rsidP="00B47531">
            <w:pPr>
              <w:rPr>
                <w:rFonts w:ascii="Arial" w:hAnsi="Arial" w:cs="Arial"/>
                <w:sz w:val="16"/>
                <w:szCs w:val="18"/>
              </w:rPr>
            </w:pPr>
          </w:p>
        </w:tc>
        <w:tc>
          <w:tcPr>
            <w:tcW w:w="709" w:type="dxa"/>
            <w:vAlign w:val="center"/>
          </w:tcPr>
          <w:p w14:paraId="1377B682" w14:textId="77777777" w:rsidR="00E01366" w:rsidRPr="003261A2" w:rsidRDefault="00E01366" w:rsidP="00B47531">
            <w:pPr>
              <w:rPr>
                <w:rFonts w:ascii="Arial" w:hAnsi="Arial" w:cs="Arial"/>
                <w:sz w:val="16"/>
                <w:szCs w:val="18"/>
              </w:rPr>
            </w:pPr>
          </w:p>
        </w:tc>
        <w:tc>
          <w:tcPr>
            <w:tcW w:w="624" w:type="dxa"/>
            <w:vAlign w:val="center"/>
          </w:tcPr>
          <w:p w14:paraId="72A1492E" w14:textId="77777777" w:rsidR="00E01366" w:rsidRPr="003261A2" w:rsidRDefault="00E01366" w:rsidP="00B47531">
            <w:pPr>
              <w:rPr>
                <w:rFonts w:ascii="Arial" w:hAnsi="Arial" w:cs="Arial"/>
                <w:sz w:val="16"/>
                <w:szCs w:val="18"/>
              </w:rPr>
            </w:pPr>
          </w:p>
        </w:tc>
        <w:tc>
          <w:tcPr>
            <w:tcW w:w="579" w:type="dxa"/>
            <w:tcBorders>
              <w:bottom w:val="single" w:sz="4" w:space="0" w:color="auto"/>
            </w:tcBorders>
            <w:vAlign w:val="center"/>
          </w:tcPr>
          <w:p w14:paraId="30814D24" w14:textId="77777777" w:rsidR="00E01366" w:rsidRPr="003261A2" w:rsidRDefault="00E01366" w:rsidP="00B47531">
            <w:pPr>
              <w:rPr>
                <w:rFonts w:ascii="Arial" w:hAnsi="Arial" w:cs="Arial"/>
                <w:sz w:val="16"/>
                <w:szCs w:val="18"/>
              </w:rPr>
            </w:pPr>
          </w:p>
        </w:tc>
        <w:tc>
          <w:tcPr>
            <w:tcW w:w="603" w:type="dxa"/>
            <w:vAlign w:val="center"/>
          </w:tcPr>
          <w:p w14:paraId="6B79396A" w14:textId="77777777" w:rsidR="00E01366" w:rsidRPr="003261A2" w:rsidRDefault="00E01366" w:rsidP="00B47531">
            <w:pPr>
              <w:rPr>
                <w:rFonts w:ascii="Arial" w:hAnsi="Arial" w:cs="Arial"/>
                <w:sz w:val="16"/>
                <w:szCs w:val="18"/>
              </w:rPr>
            </w:pPr>
          </w:p>
        </w:tc>
        <w:tc>
          <w:tcPr>
            <w:tcW w:w="595" w:type="dxa"/>
            <w:vAlign w:val="center"/>
          </w:tcPr>
          <w:p w14:paraId="249C8175" w14:textId="77777777" w:rsidR="00E01366" w:rsidRPr="003261A2" w:rsidRDefault="00E01366" w:rsidP="00B47531">
            <w:pPr>
              <w:rPr>
                <w:rFonts w:ascii="Arial" w:hAnsi="Arial" w:cs="Arial"/>
                <w:sz w:val="16"/>
                <w:szCs w:val="18"/>
              </w:rPr>
            </w:pPr>
          </w:p>
        </w:tc>
        <w:tc>
          <w:tcPr>
            <w:tcW w:w="592" w:type="dxa"/>
            <w:tcBorders>
              <w:bottom w:val="single" w:sz="4" w:space="0" w:color="auto"/>
            </w:tcBorders>
            <w:vAlign w:val="center"/>
          </w:tcPr>
          <w:p w14:paraId="231F395A" w14:textId="77777777" w:rsidR="00E01366" w:rsidRPr="003261A2" w:rsidRDefault="00E01366" w:rsidP="00B47531">
            <w:pPr>
              <w:rPr>
                <w:rFonts w:ascii="Arial" w:hAnsi="Arial" w:cs="Arial"/>
                <w:sz w:val="16"/>
                <w:szCs w:val="18"/>
              </w:rPr>
            </w:pPr>
          </w:p>
        </w:tc>
        <w:tc>
          <w:tcPr>
            <w:tcW w:w="593" w:type="dxa"/>
            <w:vAlign w:val="center"/>
          </w:tcPr>
          <w:p w14:paraId="7FE7EEFC" w14:textId="77777777" w:rsidR="00E01366" w:rsidRPr="003261A2" w:rsidRDefault="00E01366" w:rsidP="00B47531">
            <w:pPr>
              <w:rPr>
                <w:rFonts w:ascii="Arial" w:hAnsi="Arial" w:cs="Arial"/>
                <w:sz w:val="16"/>
                <w:szCs w:val="18"/>
              </w:rPr>
            </w:pPr>
          </w:p>
        </w:tc>
        <w:tc>
          <w:tcPr>
            <w:tcW w:w="592" w:type="dxa"/>
            <w:vAlign w:val="center"/>
          </w:tcPr>
          <w:p w14:paraId="7FC829B6" w14:textId="77777777" w:rsidR="00E01366" w:rsidRPr="003261A2" w:rsidRDefault="00E01366" w:rsidP="00B47531">
            <w:pPr>
              <w:rPr>
                <w:rFonts w:ascii="Arial" w:hAnsi="Arial" w:cs="Arial"/>
                <w:sz w:val="16"/>
                <w:szCs w:val="18"/>
              </w:rPr>
            </w:pPr>
          </w:p>
        </w:tc>
        <w:tc>
          <w:tcPr>
            <w:tcW w:w="592" w:type="dxa"/>
            <w:tcBorders>
              <w:bottom w:val="single" w:sz="4" w:space="0" w:color="auto"/>
            </w:tcBorders>
            <w:vAlign w:val="center"/>
          </w:tcPr>
          <w:p w14:paraId="3CF5282C" w14:textId="77777777" w:rsidR="00E01366" w:rsidRPr="003261A2" w:rsidRDefault="00E01366" w:rsidP="00B47531">
            <w:pPr>
              <w:rPr>
                <w:rFonts w:ascii="Arial" w:hAnsi="Arial" w:cs="Arial"/>
                <w:sz w:val="16"/>
                <w:szCs w:val="18"/>
              </w:rPr>
            </w:pPr>
          </w:p>
        </w:tc>
        <w:tc>
          <w:tcPr>
            <w:tcW w:w="767" w:type="dxa"/>
            <w:tcBorders>
              <w:right w:val="single" w:sz="4" w:space="0" w:color="auto"/>
            </w:tcBorders>
            <w:vAlign w:val="center"/>
          </w:tcPr>
          <w:p w14:paraId="2412FFF8" w14:textId="77777777" w:rsidR="00E01366" w:rsidRPr="003261A2" w:rsidRDefault="00E01366" w:rsidP="00B47531">
            <w:pPr>
              <w:rPr>
                <w:rFonts w:ascii="Arial" w:hAnsi="Arial" w:cs="Arial"/>
                <w:sz w:val="16"/>
                <w:szCs w:val="18"/>
              </w:rPr>
            </w:pPr>
          </w:p>
        </w:tc>
      </w:tr>
      <w:tr w:rsidR="00E01366" w:rsidRPr="005E2882"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5E2882" w:rsidRDefault="00E01366" w:rsidP="00B47531">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5E2882" w:rsidRDefault="00871BC1" w:rsidP="00B47531">
            <w:pPr>
              <w:jc w:val="center"/>
              <w:rPr>
                <w:rFonts w:ascii="Arial" w:hAnsi="Arial" w:cs="Arial"/>
                <w:sz w:val="18"/>
                <w:szCs w:val="16"/>
              </w:rPr>
            </w:pPr>
            <w:r>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5E2882" w:rsidRDefault="00E01366" w:rsidP="00B47531">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5E2882" w:rsidRDefault="00E01366" w:rsidP="00B47531">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5E2882" w:rsidRDefault="00871BC1" w:rsidP="00B47531">
            <w:pPr>
              <w:jc w:val="center"/>
              <w:rPr>
                <w:rFonts w:ascii="Arial" w:hAnsi="Arial" w:cs="Arial"/>
                <w:sz w:val="18"/>
                <w:szCs w:val="18"/>
              </w:rPr>
            </w:pPr>
            <w:r>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5E2882" w:rsidRDefault="00E01366" w:rsidP="00B47531">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5E2882" w:rsidRDefault="00E01366" w:rsidP="00B47531">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E4DAA14" w:rsidR="00E01366" w:rsidRPr="005E2882" w:rsidRDefault="00871BC1" w:rsidP="00B47531">
            <w:pPr>
              <w:jc w:val="center"/>
              <w:rPr>
                <w:rFonts w:ascii="Arial" w:hAnsi="Arial" w:cs="Arial"/>
                <w:sz w:val="18"/>
                <w:szCs w:val="18"/>
              </w:rPr>
            </w:pPr>
            <w:r>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5E2882" w:rsidRDefault="00E01366" w:rsidP="00B47531">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5E2882" w:rsidRDefault="00E01366" w:rsidP="00B47531">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50405B18" w:rsidR="00E01366" w:rsidRPr="005E2882" w:rsidRDefault="00871BC1" w:rsidP="00B47531">
            <w:pPr>
              <w:jc w:val="center"/>
              <w:rPr>
                <w:rFonts w:ascii="Arial" w:hAnsi="Arial" w:cs="Arial"/>
                <w:sz w:val="18"/>
                <w:szCs w:val="18"/>
              </w:rPr>
            </w:pPr>
            <w:r>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5E2882" w:rsidRDefault="00E01366" w:rsidP="00B47531">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5E2882" w:rsidRDefault="00E01366" w:rsidP="00B47531">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5E2882" w:rsidRDefault="00871BC1" w:rsidP="00B47531">
            <w:pPr>
              <w:jc w:val="center"/>
              <w:rPr>
                <w:rFonts w:ascii="Arial" w:hAnsi="Arial" w:cs="Arial"/>
                <w:sz w:val="18"/>
                <w:szCs w:val="18"/>
              </w:rPr>
            </w:pPr>
            <w:r>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5E2882" w:rsidRDefault="00E01366" w:rsidP="00B47531">
            <w:pPr>
              <w:jc w:val="center"/>
              <w:rPr>
                <w:rFonts w:ascii="Arial" w:hAnsi="Arial" w:cs="Arial"/>
                <w:sz w:val="18"/>
                <w:szCs w:val="18"/>
              </w:rPr>
            </w:pPr>
          </w:p>
        </w:tc>
      </w:tr>
      <w:tr w:rsidR="00E01366" w:rsidRPr="003261A2"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1D5D9B" w:rsidRDefault="00E01366" w:rsidP="00B47531">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1D5D9B" w:rsidRDefault="00E01366" w:rsidP="00B47531">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3261A2" w:rsidRDefault="00E01366" w:rsidP="00B47531">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3261A2" w:rsidRDefault="00E01366" w:rsidP="00B47531">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3261A2" w:rsidRDefault="00E01366" w:rsidP="00B47531">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3261A2" w:rsidRDefault="00E01366" w:rsidP="00B47531">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3261A2" w:rsidRDefault="00E01366" w:rsidP="00B47531">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3261A2" w:rsidRDefault="00E01366" w:rsidP="00B47531">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3261A2" w:rsidRDefault="00E01366" w:rsidP="00B47531">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3261A2" w:rsidRDefault="00E01366" w:rsidP="00B47531">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3261A2" w:rsidRDefault="00E01366" w:rsidP="00B47531">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3261A2" w:rsidRDefault="00E01366" w:rsidP="00B47531">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3261A2" w:rsidRDefault="00E01366" w:rsidP="00B47531">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3261A2" w:rsidRDefault="00E01366" w:rsidP="00B47531">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3261A2" w:rsidRDefault="00E01366" w:rsidP="00B47531">
            <w:pPr>
              <w:jc w:val="center"/>
              <w:rPr>
                <w:rFonts w:ascii="Arial" w:hAnsi="Arial" w:cs="Arial"/>
                <w:sz w:val="16"/>
                <w:szCs w:val="18"/>
              </w:rPr>
            </w:pPr>
          </w:p>
        </w:tc>
      </w:tr>
    </w:tbl>
    <w:p w14:paraId="56272EEF" w14:textId="77777777" w:rsidR="00E01366" w:rsidRPr="00DF1A12" w:rsidRDefault="00E01366">
      <w:pPr>
        <w:rPr>
          <w:rFonts w:ascii="Arial" w:hAnsi="Arial" w:cs="Arial"/>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AB3CA7" w:rsidRPr="00DF1A12"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2C6B38" w:rsidRDefault="002C6B38">
            <w:pPr>
              <w:rPr>
                <w:rFonts w:ascii="Arial" w:hAnsi="Arial" w:cs="Arial"/>
                <w:b/>
                <w:szCs w:val="20"/>
              </w:rPr>
            </w:pPr>
            <w:bookmarkStart w:id="1" w:name="_Hlk60147480"/>
            <w:r w:rsidRPr="002C6B38">
              <w:rPr>
                <w:rFonts w:ascii="Arial" w:hAnsi="Arial" w:cs="Arial"/>
                <w:b/>
                <w:bCs/>
                <w:szCs w:val="20"/>
              </w:rPr>
              <w:t>Definición</w:t>
            </w:r>
          </w:p>
        </w:tc>
      </w:tr>
      <w:tr w:rsidR="002C6B38" w:rsidRPr="00DF1A12"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Default="002C6B38">
            <w:pPr>
              <w:rPr>
                <w:rFonts w:ascii="Arial" w:hAnsi="Arial" w:cs="Arial"/>
                <w:b/>
                <w:szCs w:val="20"/>
              </w:rPr>
            </w:pPr>
          </w:p>
          <w:p w14:paraId="71A7CE2B" w14:textId="77777777" w:rsidR="009437D5" w:rsidRPr="00E35A37" w:rsidRDefault="009437D5" w:rsidP="009437D5">
            <w:pPr>
              <w:spacing w:before="240" w:after="120"/>
              <w:contextualSpacing/>
              <w:jc w:val="both"/>
              <w:rPr>
                <w:rFonts w:ascii="Arial" w:hAnsi="Arial"/>
                <w:sz w:val="20"/>
                <w:szCs w:val="20"/>
              </w:rPr>
            </w:pPr>
            <w:r w:rsidRPr="00E35A37">
              <w:rPr>
                <w:rFonts w:ascii="Arial" w:hAnsi="Arial"/>
                <w:sz w:val="20"/>
                <w:szCs w:val="20"/>
              </w:rPr>
              <w:t xml:space="preserve">El indicador representa la brecha de calidad </w:t>
            </w:r>
            <w:r>
              <w:rPr>
                <w:rFonts w:ascii="Arial" w:hAnsi="Arial"/>
                <w:sz w:val="20"/>
                <w:szCs w:val="20"/>
              </w:rPr>
              <w:t>de</w:t>
            </w:r>
            <w:r w:rsidRPr="00E35A37">
              <w:rPr>
                <w:rFonts w:ascii="Arial" w:hAnsi="Arial"/>
                <w:sz w:val="20"/>
                <w:szCs w:val="20"/>
              </w:rPr>
              <w:t xml:space="preserve"> la infraestructura de l</w:t>
            </w:r>
            <w:r>
              <w:rPr>
                <w:rFonts w:ascii="Arial" w:hAnsi="Arial"/>
                <w:sz w:val="20"/>
                <w:szCs w:val="20"/>
              </w:rPr>
              <w:t>as UP</w:t>
            </w:r>
            <w:r w:rsidRPr="00E35A37">
              <w:rPr>
                <w:rFonts w:ascii="Arial" w:hAnsi="Arial"/>
                <w:sz w:val="20"/>
                <w:szCs w:val="20"/>
              </w:rPr>
              <w:t xml:space="preserve"> </w:t>
            </w:r>
            <w:r>
              <w:rPr>
                <w:rFonts w:ascii="Arial" w:hAnsi="Arial"/>
                <w:sz w:val="20"/>
                <w:szCs w:val="20"/>
              </w:rPr>
              <w:t>que brindan el servicio de</w:t>
            </w:r>
            <w:r w:rsidRPr="00E35A37">
              <w:rPr>
                <w:rFonts w:ascii="Arial" w:hAnsi="Arial"/>
                <w:sz w:val="20"/>
                <w:szCs w:val="20"/>
              </w:rPr>
              <w:t xml:space="preserve"> educación </w:t>
            </w:r>
            <w:r w:rsidRPr="0073493C">
              <w:rPr>
                <w:rFonts w:ascii="Arial" w:hAnsi="Arial"/>
                <w:sz w:val="20"/>
                <w:szCs w:val="20"/>
              </w:rPr>
              <w:t>inicial</w:t>
            </w:r>
            <w:r w:rsidRPr="00E35A37">
              <w:rPr>
                <w:rFonts w:ascii="Arial" w:hAnsi="Arial"/>
                <w:sz w:val="20"/>
                <w:szCs w:val="20"/>
              </w:rPr>
              <w:t xml:space="preserve">. En ese sentido, </w:t>
            </w:r>
            <w:r>
              <w:rPr>
                <w:rFonts w:ascii="Arial" w:hAnsi="Arial"/>
                <w:sz w:val="20"/>
                <w:szCs w:val="20"/>
              </w:rPr>
              <w:t xml:space="preserve">la UP </w:t>
            </w:r>
            <w:r w:rsidRPr="0073493C">
              <w:rPr>
                <w:rFonts w:ascii="Arial" w:hAnsi="Arial"/>
                <w:sz w:val="20"/>
                <w:szCs w:val="20"/>
              </w:rPr>
              <w:t xml:space="preserve">es el conjunto de recursos o factores productivos (infraestructura, equipos, </w:t>
            </w:r>
            <w:r w:rsidRPr="002C6CCC">
              <w:rPr>
                <w:rFonts w:ascii="Arial" w:hAnsi="Arial"/>
                <w:sz w:val="20"/>
                <w:szCs w:val="20"/>
              </w:rPr>
              <w:t>personal, organización, capacidad de gestión</w:t>
            </w:r>
            <w:r>
              <w:rPr>
                <w:rFonts w:ascii="Arial" w:hAnsi="Arial"/>
                <w:sz w:val="20"/>
                <w:szCs w:val="20"/>
              </w:rPr>
              <w:t>,</w:t>
            </w:r>
            <w:r w:rsidRPr="002C6CCC">
              <w:rPr>
                <w:rFonts w:ascii="Arial" w:hAnsi="Arial"/>
                <w:sz w:val="20"/>
                <w:szCs w:val="20"/>
              </w:rPr>
              <w:t xml:space="preserve"> entre otros) que, articulados entre sí, tienen la capacidad de proveer bienes o servicios a la población objetivo</w:t>
            </w:r>
            <w:r>
              <w:rPr>
                <w:rStyle w:val="Refdenotaalpie"/>
                <w:rFonts w:ascii="Arial" w:hAnsi="Arial"/>
                <w:sz w:val="20"/>
                <w:szCs w:val="20"/>
              </w:rPr>
              <w:footnoteReference w:id="1"/>
            </w:r>
            <w:r w:rsidRPr="002C6CCC">
              <w:rPr>
                <w:rFonts w:ascii="Arial" w:hAnsi="Arial"/>
                <w:sz w:val="20"/>
                <w:szCs w:val="20"/>
              </w:rPr>
              <w:t>.  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UP asociadas al presente servicio se encuentran identificadas mediante el código modular, mientras que su ubicación puede ser determinada a través del local educativo</w:t>
            </w:r>
            <w:r>
              <w:rPr>
                <w:rStyle w:val="Refdenotaalpie"/>
                <w:rFonts w:ascii="Arial" w:hAnsi="Arial"/>
                <w:sz w:val="20"/>
                <w:szCs w:val="20"/>
              </w:rPr>
              <w:footnoteReference w:id="2"/>
            </w:r>
            <w:r>
              <w:rPr>
                <w:rFonts w:ascii="Arial" w:hAnsi="Arial"/>
                <w:sz w:val="20"/>
                <w:szCs w:val="20"/>
              </w:rPr>
              <w:t>, el cual se identifica mediante el código de local educativo.</w:t>
            </w:r>
          </w:p>
          <w:p w14:paraId="4D9D2AE7" w14:textId="77777777" w:rsidR="009437D5" w:rsidRPr="00E35A37" w:rsidRDefault="009437D5" w:rsidP="009437D5">
            <w:pPr>
              <w:spacing w:before="240" w:after="120"/>
              <w:contextualSpacing/>
              <w:jc w:val="both"/>
              <w:rPr>
                <w:rFonts w:ascii="Arial" w:hAnsi="Arial"/>
                <w:sz w:val="20"/>
                <w:szCs w:val="20"/>
              </w:rPr>
            </w:pPr>
          </w:p>
          <w:p w14:paraId="2183AD52" w14:textId="77777777" w:rsidR="009437D5" w:rsidRPr="00E35A37" w:rsidRDefault="009437D5" w:rsidP="009437D5">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sz w:val="20"/>
                <w:szCs w:val="20"/>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E35A37">
              <w:rPr>
                <w:rFonts w:ascii="Arial" w:hAnsi="Arial"/>
                <w:sz w:val="20"/>
                <w:szCs w:val="20"/>
              </w:rPr>
              <w:t xml:space="preserve">. Se considera que </w:t>
            </w:r>
            <w:r>
              <w:rPr>
                <w:rFonts w:ascii="Arial" w:hAnsi="Arial"/>
                <w:sz w:val="20"/>
                <w:szCs w:val="20"/>
              </w:rPr>
              <w:t>la UP</w:t>
            </w:r>
            <w:r w:rsidRPr="00E35A37">
              <w:rPr>
                <w:rFonts w:ascii="Arial" w:hAnsi="Arial"/>
                <w:sz w:val="20"/>
                <w:szCs w:val="20"/>
              </w:rPr>
              <w:t xml:space="preserve"> tiene capacidad instalada inadecuada 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p>
          <w:p w14:paraId="539CEE9E" w14:textId="77777777" w:rsidR="009437D5" w:rsidRPr="00E35A37" w:rsidRDefault="009437D5" w:rsidP="009437D5">
            <w:pPr>
              <w:spacing w:before="120" w:after="120"/>
              <w:contextualSpacing/>
              <w:jc w:val="both"/>
              <w:rPr>
                <w:rFonts w:ascii="Arial" w:hAnsi="Arial"/>
                <w:sz w:val="20"/>
                <w:szCs w:val="20"/>
              </w:rPr>
            </w:pPr>
          </w:p>
          <w:p w14:paraId="467AF658" w14:textId="77777777" w:rsidR="009437D5" w:rsidRPr="00E35A37" w:rsidRDefault="009437D5" w:rsidP="009437D5">
            <w:pPr>
              <w:spacing w:before="240" w:after="240"/>
              <w:contextualSpacing/>
              <w:jc w:val="both"/>
              <w:rPr>
                <w:rFonts w:ascii="Arial" w:hAnsi="Arial"/>
                <w:sz w:val="20"/>
                <w:szCs w:val="20"/>
              </w:rPr>
            </w:pPr>
            <w:r w:rsidRPr="00E35A37">
              <w:rPr>
                <w:rFonts w:ascii="Arial" w:hAnsi="Arial"/>
                <w:sz w:val="20"/>
                <w:szCs w:val="20"/>
              </w:rPr>
              <w:t xml:space="preserve">La Educación Inicial constituye el primer nivel de la Educación Básica Regular, atiende a niños y niñas menores de 6 años de edad, con enfoque intercultural e inclusivo, promoviendo el desarrollo y aprendizaje infantil mediante acciones educativas. Contribuye a un adecuado proceso de </w:t>
            </w:r>
            <w:r>
              <w:rPr>
                <w:rFonts w:ascii="Arial" w:hAnsi="Arial"/>
                <w:sz w:val="20"/>
                <w:szCs w:val="20"/>
              </w:rPr>
              <w:t>transición</w:t>
            </w:r>
            <w:r w:rsidRPr="00E35A37">
              <w:rPr>
                <w:rFonts w:ascii="Arial" w:hAnsi="Arial"/>
                <w:sz w:val="20"/>
                <w:szCs w:val="20"/>
              </w:rPr>
              <w:t xml:space="preserve"> del hogar al </w:t>
            </w:r>
            <w:r w:rsidRPr="00E35A37">
              <w:rPr>
                <w:rFonts w:ascii="Arial" w:hAnsi="Arial"/>
                <w:sz w:val="20"/>
                <w:szCs w:val="20"/>
              </w:rPr>
              <w:lastRenderedPageBreak/>
              <w:t>sistema educativo a través de diferentes tipos y formas de servicio educativo con estrategias que funcionan con la participación de la familia, agentes comunitarios y autoridades de los gobiernos locales</w:t>
            </w:r>
            <w:r>
              <w:rPr>
                <w:rStyle w:val="Refdenotaalpie"/>
                <w:rFonts w:ascii="Arial" w:hAnsi="Arial"/>
                <w:sz w:val="20"/>
                <w:szCs w:val="20"/>
              </w:rPr>
              <w:footnoteReference w:id="4"/>
            </w:r>
            <w:r w:rsidRPr="00E35A37">
              <w:rPr>
                <w:rFonts w:ascii="Arial" w:hAnsi="Arial"/>
                <w:sz w:val="20"/>
                <w:szCs w:val="20"/>
              </w:rPr>
              <w:t>.</w:t>
            </w:r>
          </w:p>
          <w:p w14:paraId="76496ABA" w14:textId="77777777" w:rsidR="009437D5" w:rsidRPr="00E35A37" w:rsidRDefault="009437D5" w:rsidP="009437D5">
            <w:pPr>
              <w:spacing w:before="240" w:after="240"/>
              <w:contextualSpacing/>
              <w:jc w:val="both"/>
              <w:rPr>
                <w:rFonts w:ascii="Arial" w:hAnsi="Arial"/>
                <w:sz w:val="20"/>
                <w:szCs w:val="20"/>
              </w:rPr>
            </w:pPr>
          </w:p>
          <w:p w14:paraId="79905CD3" w14:textId="77777777" w:rsidR="009437D5" w:rsidRPr="00E35A37" w:rsidRDefault="009437D5" w:rsidP="009437D5">
            <w:pPr>
              <w:spacing w:before="120" w:after="120"/>
              <w:contextualSpacing/>
              <w:jc w:val="both"/>
              <w:rPr>
                <w:rFonts w:ascii="Arial" w:hAnsi="Arial"/>
                <w:sz w:val="20"/>
                <w:szCs w:val="20"/>
              </w:rPr>
            </w:pPr>
            <w:r w:rsidRPr="00E35A37">
              <w:rPr>
                <w:rFonts w:ascii="Arial" w:hAnsi="Arial"/>
                <w:sz w:val="20"/>
                <w:szCs w:val="20"/>
              </w:rPr>
              <w:t>La atención integral de educación inicial implica brindar una educación que promueva el desarrollo infantil en sus múltiples dimensiones (cognitiva, física, motora, social, emocional). Por otro lado, implica asegurar que los niños y niñas que asisten a los servicios educativos del nivel inicial reciban servicios complementarios como la atención en salud, nutrición, protección, acceso al registro legal de identidad, servicios de cuidado, u otros que aseguren condiciones básicas para su desarrollo</w:t>
            </w:r>
            <w:r>
              <w:rPr>
                <w:rStyle w:val="Refdenotaalpie"/>
                <w:rFonts w:ascii="Arial" w:hAnsi="Arial"/>
                <w:sz w:val="20"/>
                <w:szCs w:val="20"/>
              </w:rPr>
              <w:footnoteReference w:id="5"/>
            </w:r>
            <w:r w:rsidRPr="00E35A37">
              <w:rPr>
                <w:rFonts w:ascii="Arial" w:hAnsi="Arial"/>
                <w:sz w:val="20"/>
                <w:szCs w:val="20"/>
              </w:rPr>
              <w:t xml:space="preserve">. </w:t>
            </w:r>
          </w:p>
          <w:p w14:paraId="7F52E88A" w14:textId="3015E0F0" w:rsidR="002C6B38" w:rsidRPr="002C6B38" w:rsidRDefault="002C6B38">
            <w:pPr>
              <w:rPr>
                <w:rFonts w:ascii="Arial" w:hAnsi="Arial" w:cs="Arial"/>
                <w:b/>
                <w:szCs w:val="20"/>
              </w:rPr>
            </w:pPr>
          </w:p>
        </w:tc>
      </w:tr>
      <w:tr w:rsidR="002C6B38" w:rsidRPr="00DF1A12"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2C6B38" w:rsidRDefault="002C6B38" w:rsidP="002C6B38">
            <w:pPr>
              <w:rPr>
                <w:rFonts w:ascii="Arial" w:hAnsi="Arial" w:cs="Arial"/>
                <w:b/>
                <w:szCs w:val="20"/>
              </w:rPr>
            </w:pPr>
            <w:r w:rsidRPr="00FF384E">
              <w:rPr>
                <w:rFonts w:ascii="Arial" w:hAnsi="Arial" w:cs="Arial"/>
                <w:b/>
                <w:bCs/>
                <w:szCs w:val="20"/>
              </w:rPr>
              <w:lastRenderedPageBreak/>
              <w:t>Justificación</w:t>
            </w:r>
          </w:p>
        </w:tc>
      </w:tr>
      <w:tr w:rsidR="002C6B38" w:rsidRPr="00DF1A12"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54A3B6" w14:textId="77777777" w:rsidR="009437D5" w:rsidRPr="00E35A37" w:rsidRDefault="009437D5" w:rsidP="009437D5">
            <w:pPr>
              <w:contextualSpacing/>
              <w:jc w:val="both"/>
              <w:rPr>
                <w:rFonts w:ascii="Arial" w:hAnsi="Arial"/>
                <w:sz w:val="20"/>
                <w:szCs w:val="20"/>
              </w:rPr>
            </w:pPr>
            <w:r w:rsidRPr="00E35A37">
              <w:rPr>
                <w:rFonts w:ascii="Arial" w:hAnsi="Arial"/>
                <w:sz w:val="20"/>
                <w:szCs w:val="20"/>
              </w:rPr>
              <w:t xml:space="preserve">Este indicador permite medir directamente la brecha de calidad </w:t>
            </w:r>
            <w:r>
              <w:rPr>
                <w:rFonts w:ascii="Arial" w:hAnsi="Arial"/>
                <w:sz w:val="20"/>
                <w:szCs w:val="20"/>
              </w:rPr>
              <w:t>de</w:t>
            </w:r>
            <w:r w:rsidRPr="00E35A37">
              <w:rPr>
                <w:rFonts w:ascii="Arial" w:hAnsi="Arial"/>
                <w:sz w:val="20"/>
                <w:szCs w:val="20"/>
              </w:rPr>
              <w:t xml:space="preserve"> la infraestructura educativa </w:t>
            </w:r>
            <w:r>
              <w:rPr>
                <w:rFonts w:ascii="Arial" w:hAnsi="Arial"/>
                <w:sz w:val="20"/>
                <w:szCs w:val="20"/>
              </w:rPr>
              <w:t>que brinda el</w:t>
            </w:r>
            <w:r w:rsidRPr="00E35A37">
              <w:rPr>
                <w:rFonts w:ascii="Arial" w:hAnsi="Arial"/>
                <w:sz w:val="20"/>
                <w:szCs w:val="20"/>
              </w:rPr>
              <w:t xml:space="preserve"> servicio de educación inicial</w:t>
            </w:r>
            <w:r>
              <w:rPr>
                <w:rFonts w:ascii="Arial" w:hAnsi="Arial"/>
                <w:sz w:val="20"/>
                <w:szCs w:val="20"/>
              </w:rPr>
              <w:t>. E</w:t>
            </w:r>
            <w:r w:rsidRPr="00E35A37">
              <w:rPr>
                <w:rFonts w:ascii="Arial" w:hAnsi="Arial"/>
                <w:sz w:val="20"/>
                <w:szCs w:val="20"/>
              </w:rPr>
              <w:t>l cierre de esta brecha está vinculado directamente con la ejec</w:t>
            </w:r>
            <w:r>
              <w:rPr>
                <w:rFonts w:ascii="Arial" w:hAnsi="Arial"/>
                <w:sz w:val="20"/>
                <w:szCs w:val="20"/>
              </w:rPr>
              <w:t>ución de inversiones</w:t>
            </w:r>
            <w:r w:rsidRPr="00B31507">
              <w:rPr>
                <w:rFonts w:ascii="Arial" w:hAnsi="Arial"/>
                <w:sz w:val="20"/>
                <w:szCs w:val="20"/>
              </w:rPr>
              <w:t>.</w:t>
            </w:r>
          </w:p>
          <w:p w14:paraId="7D76E9E9" w14:textId="5CF90B53" w:rsidR="002C6B38" w:rsidRPr="002C6B38" w:rsidRDefault="002C6B38" w:rsidP="002C6B38">
            <w:pPr>
              <w:rPr>
                <w:rFonts w:ascii="Arial" w:hAnsi="Arial" w:cs="Arial"/>
                <w:b/>
                <w:szCs w:val="20"/>
              </w:rPr>
            </w:pPr>
          </w:p>
        </w:tc>
      </w:tr>
      <w:tr w:rsidR="002C6B38" w:rsidRPr="00DF1A12"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2C6B38" w:rsidRDefault="002C6B38" w:rsidP="002C6B38">
            <w:pPr>
              <w:rPr>
                <w:rFonts w:ascii="Arial" w:hAnsi="Arial" w:cs="Arial"/>
                <w:b/>
                <w:szCs w:val="20"/>
              </w:rPr>
            </w:pPr>
            <w:r w:rsidRPr="002C6B38">
              <w:rPr>
                <w:rFonts w:ascii="Arial" w:hAnsi="Arial" w:cs="Arial"/>
                <w:b/>
                <w:szCs w:val="20"/>
              </w:rPr>
              <w:t>Método de Cálculo</w:t>
            </w:r>
          </w:p>
        </w:tc>
      </w:tr>
      <w:tr w:rsidR="002C6B38" w:rsidRPr="00DF1A12"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746EB6"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746EB6"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746EB6"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746EB6"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746EB6"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746EB6"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746EB6" w:rsidRDefault="002C6B38" w:rsidP="002C6B38">
            <w:pPr>
              <w:rPr>
                <w:rFonts w:ascii="Arial" w:hAnsi="Arial" w:cs="Arial"/>
                <w:sz w:val="18"/>
                <w:szCs w:val="20"/>
              </w:rPr>
            </w:pPr>
          </w:p>
        </w:tc>
      </w:tr>
      <w:tr w:rsidR="002C6B38" w:rsidRPr="00DF1A12" w14:paraId="04346496" w14:textId="451BB1F0" w:rsidTr="00B47531">
        <w:trPr>
          <w:trHeight w:val="357"/>
        </w:trPr>
        <w:tc>
          <w:tcPr>
            <w:tcW w:w="3444" w:type="dxa"/>
            <w:tcBorders>
              <w:left w:val="single" w:sz="4" w:space="0" w:color="auto"/>
            </w:tcBorders>
            <w:vAlign w:val="center"/>
          </w:tcPr>
          <w:p w14:paraId="1AC3036D" w14:textId="747D65C8" w:rsidR="002C6B38" w:rsidRPr="00746EB6" w:rsidRDefault="002C6B38" w:rsidP="002C6B38">
            <w:pPr>
              <w:rPr>
                <w:rFonts w:ascii="Arial" w:hAnsi="Arial" w:cs="Arial"/>
                <w:sz w:val="18"/>
                <w:szCs w:val="20"/>
              </w:rPr>
            </w:pPr>
            <w:bookmarkStart w:id="2" w:name="_Hlk138146137"/>
          </w:p>
        </w:tc>
        <w:tc>
          <w:tcPr>
            <w:tcW w:w="698" w:type="dxa"/>
            <w:tcBorders>
              <w:left w:val="nil"/>
            </w:tcBorders>
            <w:vAlign w:val="center"/>
          </w:tcPr>
          <w:p w14:paraId="72BF8E75" w14:textId="47CDCB29" w:rsidR="002C6B38" w:rsidRPr="00746EB6" w:rsidRDefault="002C6B38" w:rsidP="002C6B38">
            <w:pPr>
              <w:jc w:val="center"/>
              <w:rPr>
                <w:rFonts w:ascii="Arial" w:hAnsi="Arial" w:cs="Arial"/>
                <w:sz w:val="18"/>
                <w:szCs w:val="20"/>
              </w:rPr>
            </w:pPr>
            <w:r w:rsidRPr="00746EB6">
              <w:rPr>
                <w:rFonts w:ascii="Arial" w:hAnsi="Arial" w:cs="Arial"/>
                <w:sz w:val="18"/>
                <w:szCs w:val="20"/>
              </w:rPr>
              <w:t>=</w:t>
            </w:r>
          </w:p>
        </w:tc>
        <w:tc>
          <w:tcPr>
            <w:tcW w:w="693" w:type="dxa"/>
            <w:vAlign w:val="center"/>
          </w:tcPr>
          <w:p w14:paraId="46672FE2" w14:textId="56DA6D70" w:rsidR="002C6B38" w:rsidRPr="00746EB6" w:rsidRDefault="002C6B38" w:rsidP="00246044">
            <w:pPr>
              <w:rPr>
                <w:rFonts w:ascii="Arial" w:hAnsi="Arial" w:cs="Arial"/>
                <w:sz w:val="18"/>
                <w:szCs w:val="20"/>
              </w:rPr>
            </w:pPr>
            <w:r>
              <w:rPr>
                <w:rFonts w:ascii="Arial" w:hAnsi="Arial" w:cs="Arial"/>
                <w:sz w:val="18"/>
                <w:szCs w:val="20"/>
              </w:rPr>
              <w:t xml:space="preserve">   </w:t>
            </w:r>
            <w:r w:rsidR="00125397">
              <w:rPr>
                <w:rFonts w:ascii="Arial" w:hAnsi="Arial" w:cs="Arial"/>
                <w:sz w:val="18"/>
                <w:szCs w:val="20"/>
              </w:rPr>
              <w:t>1 -</w:t>
            </w:r>
          </w:p>
        </w:tc>
        <w:tc>
          <w:tcPr>
            <w:tcW w:w="2071" w:type="dxa"/>
            <w:tcBorders>
              <w:bottom w:val="single" w:sz="4" w:space="0" w:color="auto"/>
            </w:tcBorders>
            <w:vAlign w:val="center"/>
          </w:tcPr>
          <w:p w14:paraId="70B109B8" w14:textId="75B817F1" w:rsidR="002C6B38" w:rsidRPr="00746EB6" w:rsidRDefault="00125397" w:rsidP="002C6B38">
            <w:pPr>
              <w:jc w:val="center"/>
              <w:rPr>
                <w:rFonts w:ascii="Arial" w:hAnsi="Arial" w:cs="Arial"/>
                <w:sz w:val="18"/>
                <w:szCs w:val="20"/>
              </w:rPr>
            </w:pPr>
            <w:r>
              <w:rPr>
                <w:rFonts w:ascii="Arial" w:hAnsi="Arial" w:cs="Arial"/>
                <w:sz w:val="18"/>
                <w:szCs w:val="20"/>
              </w:rPr>
              <w:t>Implementado</w:t>
            </w:r>
          </w:p>
        </w:tc>
        <w:tc>
          <w:tcPr>
            <w:tcW w:w="1102" w:type="dxa"/>
            <w:vAlign w:val="center"/>
          </w:tcPr>
          <w:p w14:paraId="62DEA624" w14:textId="0008798F" w:rsidR="002C6B38" w:rsidRPr="00746EB6" w:rsidRDefault="002C6B38" w:rsidP="002C6B38">
            <w:pPr>
              <w:rPr>
                <w:rFonts w:ascii="Arial" w:hAnsi="Arial" w:cs="Arial"/>
                <w:sz w:val="18"/>
                <w:szCs w:val="20"/>
              </w:rPr>
            </w:pPr>
            <w:r w:rsidRPr="00746EB6">
              <w:rPr>
                <w:rFonts w:ascii="Arial" w:hAnsi="Arial" w:cs="Arial"/>
                <w:sz w:val="18"/>
                <w:szCs w:val="20"/>
              </w:rPr>
              <w:t>x 100</w:t>
            </w:r>
            <w:r w:rsidR="00A21105">
              <w:rPr>
                <w:rFonts w:ascii="Arial" w:hAnsi="Arial" w:cs="Arial"/>
                <w:sz w:val="18"/>
                <w:szCs w:val="20"/>
              </w:rPr>
              <w:t>%</w:t>
            </w:r>
            <w:r>
              <w:rPr>
                <w:rFonts w:ascii="Arial" w:hAnsi="Arial" w:cs="Arial"/>
                <w:sz w:val="18"/>
                <w:szCs w:val="20"/>
              </w:rPr>
              <w:t xml:space="preserve">   =</w:t>
            </w:r>
          </w:p>
        </w:tc>
        <w:tc>
          <w:tcPr>
            <w:tcW w:w="800" w:type="dxa"/>
            <w:vAlign w:val="center"/>
          </w:tcPr>
          <w:p w14:paraId="57DD5484" w14:textId="77777777" w:rsidR="002C6B38" w:rsidRPr="00746EB6"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746EB6" w:rsidRDefault="002C6B38" w:rsidP="002C6B38">
            <w:pPr>
              <w:rPr>
                <w:rFonts w:ascii="Arial" w:hAnsi="Arial" w:cs="Arial"/>
                <w:sz w:val="18"/>
                <w:szCs w:val="20"/>
              </w:rPr>
            </w:pPr>
          </w:p>
        </w:tc>
      </w:tr>
      <w:tr w:rsidR="002C6B38" w:rsidRPr="00DF1A12" w14:paraId="344D86A3" w14:textId="7BED7EB9" w:rsidTr="00B47531">
        <w:trPr>
          <w:trHeight w:val="255"/>
        </w:trPr>
        <w:tc>
          <w:tcPr>
            <w:tcW w:w="3444" w:type="dxa"/>
            <w:tcBorders>
              <w:left w:val="single" w:sz="4" w:space="0" w:color="auto"/>
            </w:tcBorders>
            <w:vAlign w:val="center"/>
          </w:tcPr>
          <w:p w14:paraId="4A25112C" w14:textId="168B723D" w:rsidR="002C6B38" w:rsidRPr="00746EB6"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746EB6" w:rsidRDefault="002C6B38" w:rsidP="002C6B38">
            <w:pPr>
              <w:rPr>
                <w:rFonts w:ascii="Arial" w:hAnsi="Arial" w:cs="Arial"/>
                <w:sz w:val="18"/>
                <w:szCs w:val="20"/>
              </w:rPr>
            </w:pPr>
          </w:p>
        </w:tc>
        <w:tc>
          <w:tcPr>
            <w:tcW w:w="693" w:type="dxa"/>
            <w:vAlign w:val="center"/>
          </w:tcPr>
          <w:p w14:paraId="16A721F7" w14:textId="6B73AC02" w:rsidR="002C6B38" w:rsidRPr="00746EB6" w:rsidRDefault="002C6B38" w:rsidP="002C6B38">
            <w:pPr>
              <w:rPr>
                <w:rFonts w:ascii="Arial" w:hAnsi="Arial" w:cs="Arial"/>
                <w:sz w:val="18"/>
                <w:szCs w:val="20"/>
              </w:rPr>
            </w:pPr>
          </w:p>
        </w:tc>
        <w:tc>
          <w:tcPr>
            <w:tcW w:w="2071" w:type="dxa"/>
            <w:vAlign w:val="center"/>
          </w:tcPr>
          <w:p w14:paraId="2CA9FB79" w14:textId="1827ADA0" w:rsidR="002C6B38" w:rsidRPr="00746EB6" w:rsidRDefault="002C6B38" w:rsidP="002C6B38">
            <w:pPr>
              <w:jc w:val="center"/>
              <w:rPr>
                <w:rFonts w:ascii="Arial" w:hAnsi="Arial" w:cs="Arial"/>
                <w:sz w:val="18"/>
                <w:szCs w:val="20"/>
              </w:rPr>
            </w:pPr>
            <w:r w:rsidRPr="00746EB6">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746EB6">
              <w:rPr>
                <w:rFonts w:ascii="Arial" w:hAnsi="Arial" w:cs="Arial"/>
                <w:sz w:val="18"/>
                <w:szCs w:val="20"/>
              </w:rPr>
              <w:t>Demandado</w:t>
            </w:r>
          </w:p>
        </w:tc>
        <w:tc>
          <w:tcPr>
            <w:tcW w:w="1102" w:type="dxa"/>
            <w:vAlign w:val="center"/>
          </w:tcPr>
          <w:p w14:paraId="62D86CC3" w14:textId="3B2D75F6" w:rsidR="002C6B38" w:rsidRPr="00746EB6" w:rsidRDefault="002C6B38" w:rsidP="002C6B38">
            <w:pPr>
              <w:rPr>
                <w:rFonts w:ascii="Arial" w:hAnsi="Arial" w:cs="Arial"/>
                <w:sz w:val="18"/>
                <w:szCs w:val="20"/>
              </w:rPr>
            </w:pPr>
          </w:p>
        </w:tc>
        <w:tc>
          <w:tcPr>
            <w:tcW w:w="800" w:type="dxa"/>
            <w:vAlign w:val="center"/>
          </w:tcPr>
          <w:p w14:paraId="5EA263D0" w14:textId="69CB78E8" w:rsidR="002C6B38" w:rsidRPr="00746EB6"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746EB6" w:rsidRDefault="002C6B38" w:rsidP="002C6B38">
            <w:pPr>
              <w:rPr>
                <w:rFonts w:ascii="Arial" w:hAnsi="Arial" w:cs="Arial"/>
                <w:sz w:val="18"/>
                <w:szCs w:val="20"/>
              </w:rPr>
            </w:pPr>
          </w:p>
        </w:tc>
      </w:tr>
      <w:tr w:rsidR="002C6B38" w:rsidRPr="00DF1A12" w14:paraId="6B5C1D44" w14:textId="29EA102C" w:rsidTr="00B47531">
        <w:trPr>
          <w:trHeight w:val="255"/>
        </w:trPr>
        <w:tc>
          <w:tcPr>
            <w:tcW w:w="3444" w:type="dxa"/>
            <w:tcBorders>
              <w:left w:val="single" w:sz="4" w:space="0" w:color="auto"/>
            </w:tcBorders>
            <w:vAlign w:val="center"/>
          </w:tcPr>
          <w:p w14:paraId="07716DD5" w14:textId="2BD341FA" w:rsidR="002C6B38" w:rsidRPr="00746EB6" w:rsidRDefault="002C6B38" w:rsidP="002C6B38">
            <w:pPr>
              <w:rPr>
                <w:rFonts w:ascii="Arial" w:hAnsi="Arial" w:cs="Arial"/>
                <w:sz w:val="18"/>
                <w:szCs w:val="20"/>
              </w:rPr>
            </w:pPr>
            <w:r w:rsidRPr="00746EB6">
              <w:rPr>
                <w:rFonts w:ascii="Arial" w:hAnsi="Arial" w:cs="Arial"/>
                <w:sz w:val="18"/>
                <w:szCs w:val="20"/>
              </w:rPr>
              <w:t>Donde:</w:t>
            </w:r>
          </w:p>
        </w:tc>
        <w:tc>
          <w:tcPr>
            <w:tcW w:w="698" w:type="dxa"/>
            <w:vAlign w:val="center"/>
          </w:tcPr>
          <w:p w14:paraId="258F2A4B" w14:textId="7B8B66DF" w:rsidR="002C6B38" w:rsidRPr="00746EB6"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746EB6"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746EB6"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746EB6"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746EB6"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746EB6" w:rsidRDefault="002C6B38" w:rsidP="002C6B38">
            <w:pPr>
              <w:rPr>
                <w:rFonts w:ascii="Arial" w:hAnsi="Arial" w:cs="Arial"/>
                <w:sz w:val="18"/>
                <w:szCs w:val="20"/>
              </w:rPr>
            </w:pPr>
          </w:p>
        </w:tc>
      </w:tr>
      <w:tr w:rsidR="002C6B38" w:rsidRPr="00DF1A12" w14:paraId="47FDDA09" w14:textId="0C401BB7" w:rsidTr="001D5D9B">
        <w:trPr>
          <w:trHeight w:val="568"/>
        </w:trPr>
        <w:tc>
          <w:tcPr>
            <w:tcW w:w="3444" w:type="dxa"/>
            <w:tcBorders>
              <w:left w:val="single" w:sz="4" w:space="0" w:color="auto"/>
            </w:tcBorders>
            <w:vAlign w:val="center"/>
          </w:tcPr>
          <w:p w14:paraId="4BF3D8E8" w14:textId="5898ED1E" w:rsidR="002C6B38" w:rsidRPr="00746EB6" w:rsidRDefault="002C6B38" w:rsidP="002C6B38">
            <w:pPr>
              <w:jc w:val="right"/>
              <w:rPr>
                <w:rFonts w:ascii="Arial" w:hAnsi="Arial" w:cs="Arial"/>
                <w:sz w:val="18"/>
                <w:szCs w:val="20"/>
              </w:rPr>
            </w:pPr>
            <w:r w:rsidRPr="00746EB6">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746EB6" w:rsidRDefault="002C6B38" w:rsidP="002C6B38">
            <w:pPr>
              <w:jc w:val="center"/>
              <w:rPr>
                <w:rFonts w:ascii="Arial" w:hAnsi="Arial" w:cs="Arial"/>
                <w:sz w:val="18"/>
                <w:szCs w:val="20"/>
              </w:rPr>
            </w:pPr>
            <w:r w:rsidRPr="00746EB6">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67E2BE96" w:rsidR="002C6B38" w:rsidRPr="00746EB6" w:rsidRDefault="00000000" w:rsidP="002C6B38">
            <w:pPr>
              <w:rPr>
                <w:rFonts w:ascii="Arial" w:hAnsi="Arial" w:cs="Arial"/>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CTUPI</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66425D" w:rsidRPr="0066425D">
              <w:rPr>
                <w:rFonts w:ascii="Arial" w:eastAsiaTheme="minorEastAsia" w:hAnsi="Arial"/>
                <w:sz w:val="24"/>
                <w:szCs w:val="24"/>
                <w:lang w:val="en-US"/>
              </w:rPr>
              <w:t>:</w:t>
            </w:r>
            <w:r w:rsidR="0066425D">
              <w:rPr>
                <w:rFonts w:ascii="Arial" w:eastAsiaTheme="minorEastAsia" w:hAnsi="Arial"/>
                <w:sz w:val="24"/>
                <w:szCs w:val="24"/>
                <w:lang w:val="en-US"/>
              </w:rPr>
              <w:t xml:space="preserve"> </w:t>
            </w:r>
            <w:r w:rsidR="0066425D" w:rsidRPr="00E35A37">
              <w:rPr>
                <w:rFonts w:ascii="Arial" w:hAnsi="Arial"/>
                <w:sz w:val="20"/>
                <w:szCs w:val="20"/>
              </w:rPr>
              <w:t>Cant</w:t>
            </w:r>
            <w:r w:rsidR="0066425D">
              <w:rPr>
                <w:rFonts w:ascii="Arial" w:hAnsi="Arial"/>
                <w:sz w:val="20"/>
                <w:szCs w:val="20"/>
              </w:rPr>
              <w:t>idad total de unidades productoras</w:t>
            </w:r>
            <w:r w:rsidR="0066425D" w:rsidRPr="00E35A37">
              <w:rPr>
                <w:rFonts w:ascii="Arial" w:hAnsi="Arial"/>
                <w:sz w:val="20"/>
                <w:szCs w:val="20"/>
              </w:rPr>
              <w:t xml:space="preserve"> con </w:t>
            </w:r>
            <w:r w:rsidR="0066425D">
              <w:rPr>
                <w:rFonts w:ascii="Arial" w:hAnsi="Arial"/>
                <w:sz w:val="20"/>
                <w:szCs w:val="20"/>
              </w:rPr>
              <w:t xml:space="preserve">el </w:t>
            </w:r>
            <w:r w:rsidR="0066425D" w:rsidRPr="00E35A37">
              <w:rPr>
                <w:rFonts w:ascii="Arial" w:hAnsi="Arial"/>
                <w:sz w:val="20"/>
                <w:szCs w:val="20"/>
              </w:rPr>
              <w:t xml:space="preserve">servicio de Educación </w:t>
            </w:r>
            <w:r w:rsidR="0066425D">
              <w:rPr>
                <w:rFonts w:ascii="Arial" w:hAnsi="Arial"/>
                <w:bCs/>
                <w:sz w:val="20"/>
                <w:szCs w:val="20"/>
                <w:lang w:val="es-MX"/>
              </w:rPr>
              <w:t>Inicial</w:t>
            </w:r>
            <w:r w:rsidR="0066425D">
              <w:rPr>
                <w:rFonts w:ascii="Arial" w:hAnsi="Arial"/>
                <w:sz w:val="20"/>
                <w:szCs w:val="20"/>
              </w:rPr>
              <w:t xml:space="preserve"> identificadas en la Base de Datos de Monitoreo del Estado de las Unidades Productoras en el Marco del Invierte.pe, del Plan Nacional de Infraestructura Educativa, y del Censo Educativo</w:t>
            </w:r>
            <w:r w:rsidR="0066425D" w:rsidRPr="00E35A37">
              <w:rPr>
                <w:rFonts w:ascii="Arial" w:hAnsi="Arial"/>
                <w:sz w:val="20"/>
                <w:szCs w:val="20"/>
              </w:rPr>
              <w:t xml:space="preserve"> en el tiempo t.</w:t>
            </w:r>
            <w:r w:rsidR="0066425D">
              <w:rPr>
                <w:rFonts w:ascii="Arial" w:hAnsi="Arial"/>
                <w:sz w:val="20"/>
                <w:szCs w:val="20"/>
              </w:rPr>
              <w:t xml:space="preserve"> </w:t>
            </w:r>
          </w:p>
        </w:tc>
        <w:tc>
          <w:tcPr>
            <w:tcW w:w="692" w:type="dxa"/>
            <w:tcBorders>
              <w:left w:val="single" w:sz="4" w:space="0" w:color="auto"/>
              <w:right w:val="single" w:sz="4" w:space="0" w:color="auto"/>
            </w:tcBorders>
            <w:vAlign w:val="center"/>
          </w:tcPr>
          <w:p w14:paraId="1273E212" w14:textId="77777777" w:rsidR="002C6B38" w:rsidRPr="00746EB6" w:rsidRDefault="002C6B38" w:rsidP="002C6B38">
            <w:pPr>
              <w:rPr>
                <w:rFonts w:ascii="Arial" w:hAnsi="Arial" w:cs="Arial"/>
                <w:sz w:val="18"/>
                <w:szCs w:val="20"/>
              </w:rPr>
            </w:pPr>
          </w:p>
        </w:tc>
      </w:tr>
      <w:tr w:rsidR="002C6B38" w:rsidRPr="00DF1A12"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746EB6" w:rsidRDefault="002C6B38" w:rsidP="002C6B38">
            <w:pPr>
              <w:rPr>
                <w:rFonts w:ascii="Arial" w:hAnsi="Arial" w:cs="Arial"/>
                <w:sz w:val="18"/>
                <w:szCs w:val="20"/>
              </w:rPr>
            </w:pPr>
          </w:p>
        </w:tc>
      </w:tr>
      <w:tr w:rsidR="002C6B38" w:rsidRPr="00DF1A12" w14:paraId="0444C1B3" w14:textId="146F9E5D" w:rsidTr="002C6B38">
        <w:trPr>
          <w:trHeight w:val="593"/>
        </w:trPr>
        <w:tc>
          <w:tcPr>
            <w:tcW w:w="3444" w:type="dxa"/>
            <w:tcBorders>
              <w:left w:val="single" w:sz="4" w:space="0" w:color="auto"/>
              <w:bottom w:val="single" w:sz="4" w:space="0" w:color="auto"/>
            </w:tcBorders>
            <w:vAlign w:val="center"/>
          </w:tcPr>
          <w:p w14:paraId="18557181" w14:textId="479AB0F7" w:rsidR="002C6B38" w:rsidRPr="00746EB6" w:rsidRDefault="00125397"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746EB6" w:rsidRDefault="002C6B38" w:rsidP="002C6B38">
            <w:pPr>
              <w:jc w:val="center"/>
              <w:rPr>
                <w:rFonts w:ascii="Arial" w:hAnsi="Arial" w:cs="Arial"/>
                <w:sz w:val="18"/>
                <w:szCs w:val="20"/>
              </w:rPr>
            </w:pPr>
            <w:r w:rsidRPr="00746EB6">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2D568A62" w14:textId="013D0F79" w:rsidR="002C6B38" w:rsidRDefault="00000000" w:rsidP="002C6B38">
            <w:pPr>
              <w:rPr>
                <w:rFonts w:ascii="Arial" w:hAnsi="Arial"/>
                <w:sz w:val="20"/>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CTUPIE</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66425D">
              <w:rPr>
                <w:rFonts w:ascii="Arial" w:eastAsiaTheme="minorEastAsia" w:hAnsi="Arial"/>
                <w:sz w:val="24"/>
                <w:szCs w:val="24"/>
                <w:lang w:val="en-US"/>
              </w:rPr>
              <w:t xml:space="preserve">: </w:t>
            </w:r>
            <w:r w:rsidR="0066425D">
              <w:rPr>
                <w:rFonts w:ascii="Arial" w:hAnsi="Arial"/>
                <w:sz w:val="20"/>
                <w:szCs w:val="20"/>
              </w:rPr>
              <w:t>Cantidad de unidades productoras</w:t>
            </w:r>
            <w:r w:rsidR="0066425D" w:rsidRPr="00E35A37">
              <w:rPr>
                <w:rFonts w:ascii="Arial" w:hAnsi="Arial"/>
                <w:sz w:val="20"/>
                <w:szCs w:val="20"/>
              </w:rPr>
              <w:t xml:space="preserve"> con </w:t>
            </w:r>
            <w:r w:rsidR="0066425D">
              <w:rPr>
                <w:rFonts w:ascii="Arial" w:hAnsi="Arial"/>
                <w:sz w:val="20"/>
                <w:szCs w:val="20"/>
              </w:rPr>
              <w:t xml:space="preserve">el </w:t>
            </w:r>
            <w:r w:rsidR="0066425D" w:rsidRPr="00E35A37">
              <w:rPr>
                <w:rFonts w:ascii="Arial" w:hAnsi="Arial"/>
                <w:sz w:val="20"/>
                <w:szCs w:val="20"/>
              </w:rPr>
              <w:t xml:space="preserve">servicio de Educación </w:t>
            </w:r>
            <w:r w:rsidR="0066425D">
              <w:rPr>
                <w:rFonts w:ascii="Arial" w:hAnsi="Arial"/>
                <w:bCs/>
                <w:sz w:val="20"/>
                <w:szCs w:val="20"/>
                <w:lang w:val="es-MX"/>
              </w:rPr>
              <w:t>Inicial con</w:t>
            </w:r>
            <w:r w:rsidR="0066425D" w:rsidRPr="00E35A37">
              <w:rPr>
                <w:rFonts w:ascii="Arial" w:hAnsi="Arial"/>
                <w:bCs/>
                <w:sz w:val="20"/>
                <w:szCs w:val="20"/>
                <w:lang w:val="es-MX"/>
              </w:rPr>
              <w:t xml:space="preserve"> capacidad instalada </w:t>
            </w:r>
            <w:r w:rsidR="006637EE">
              <w:rPr>
                <w:rFonts w:ascii="Arial" w:hAnsi="Arial"/>
                <w:bCs/>
                <w:sz w:val="20"/>
                <w:szCs w:val="20"/>
                <w:lang w:val="es-MX"/>
              </w:rPr>
              <w:t>existente</w:t>
            </w:r>
            <w:r w:rsidR="0066425D">
              <w:rPr>
                <w:rFonts w:ascii="Arial" w:hAnsi="Arial"/>
                <w:sz w:val="20"/>
                <w:szCs w:val="20"/>
              </w:rPr>
              <w:t xml:space="preserve"> identificadas en la B</w:t>
            </w:r>
            <w:r w:rsidR="0066425D" w:rsidRPr="00E35A37">
              <w:rPr>
                <w:rFonts w:ascii="Arial" w:hAnsi="Arial"/>
                <w:sz w:val="20"/>
                <w:szCs w:val="20"/>
              </w:rPr>
              <w:t xml:space="preserve">ase de </w:t>
            </w:r>
            <w:r w:rsidR="0066425D">
              <w:rPr>
                <w:rFonts w:ascii="Arial" w:hAnsi="Arial"/>
                <w:sz w:val="20"/>
                <w:szCs w:val="20"/>
              </w:rPr>
              <w:t>Datos de M</w:t>
            </w:r>
            <w:r w:rsidR="0066425D" w:rsidRPr="00E35A37">
              <w:rPr>
                <w:rFonts w:ascii="Arial" w:hAnsi="Arial"/>
                <w:sz w:val="20"/>
                <w:szCs w:val="20"/>
              </w:rPr>
              <w:t>onitoreo del</w:t>
            </w:r>
            <w:r w:rsidR="0066425D">
              <w:rPr>
                <w:rFonts w:ascii="Arial" w:hAnsi="Arial"/>
                <w:sz w:val="20"/>
                <w:szCs w:val="20"/>
              </w:rPr>
              <w:t xml:space="preserve"> Estado de las Unidades Productoras</w:t>
            </w:r>
            <w:r w:rsidR="0066425D" w:rsidRPr="00E35A37">
              <w:rPr>
                <w:rFonts w:ascii="Arial" w:hAnsi="Arial"/>
                <w:sz w:val="20"/>
                <w:szCs w:val="20"/>
              </w:rPr>
              <w:t xml:space="preserve"> </w:t>
            </w:r>
            <w:r w:rsidR="0066425D">
              <w:rPr>
                <w:rFonts w:ascii="Arial" w:hAnsi="Arial"/>
                <w:sz w:val="20"/>
                <w:szCs w:val="20"/>
              </w:rPr>
              <w:t>en el Marco del Invierte.pe, del Plan Nacional de Infraestructura Educativa, y del Censo Educativo, e</w:t>
            </w:r>
            <w:r w:rsidR="0066425D" w:rsidRPr="00E35A37">
              <w:rPr>
                <w:rFonts w:ascii="Arial" w:hAnsi="Arial"/>
                <w:sz w:val="20"/>
                <w:szCs w:val="20"/>
              </w:rPr>
              <w:t>n el tiempo t.</w:t>
            </w:r>
            <w:r w:rsidR="0066425D">
              <w:rPr>
                <w:rFonts w:ascii="Arial" w:hAnsi="Arial"/>
                <w:sz w:val="20"/>
                <w:szCs w:val="20"/>
              </w:rPr>
              <w:t xml:space="preserve"> </w:t>
            </w:r>
          </w:p>
          <w:p w14:paraId="3752E493" w14:textId="5D414DE7" w:rsidR="00E307FC" w:rsidRPr="00746EB6" w:rsidRDefault="00E307FC" w:rsidP="002C6B38">
            <w:pPr>
              <w:rPr>
                <w:rFonts w:ascii="Arial" w:hAnsi="Arial" w:cs="Arial"/>
                <w:sz w:val="18"/>
                <w:szCs w:val="20"/>
              </w:rPr>
            </w:pPr>
          </w:p>
        </w:tc>
        <w:tc>
          <w:tcPr>
            <w:tcW w:w="692" w:type="dxa"/>
            <w:tcBorders>
              <w:left w:val="single" w:sz="4" w:space="0" w:color="auto"/>
              <w:bottom w:val="single" w:sz="4" w:space="0" w:color="auto"/>
              <w:right w:val="single" w:sz="4" w:space="0" w:color="auto"/>
            </w:tcBorders>
            <w:vAlign w:val="center"/>
          </w:tcPr>
          <w:p w14:paraId="21ACDE04" w14:textId="77777777" w:rsidR="002C6B38" w:rsidRDefault="002C6B38" w:rsidP="002C6B38">
            <w:pPr>
              <w:rPr>
                <w:rFonts w:ascii="Arial" w:hAnsi="Arial" w:cs="Arial"/>
                <w:sz w:val="18"/>
                <w:szCs w:val="20"/>
              </w:rPr>
            </w:pPr>
          </w:p>
          <w:p w14:paraId="7FCDFD31" w14:textId="77777777" w:rsidR="00246044" w:rsidRDefault="00246044" w:rsidP="002C6B38">
            <w:pPr>
              <w:rPr>
                <w:rFonts w:ascii="Arial" w:hAnsi="Arial" w:cs="Arial"/>
                <w:sz w:val="18"/>
                <w:szCs w:val="20"/>
              </w:rPr>
            </w:pPr>
          </w:p>
          <w:p w14:paraId="191B0FC8" w14:textId="77777777" w:rsidR="00246044" w:rsidRPr="00746EB6" w:rsidRDefault="00246044" w:rsidP="002C6B38">
            <w:pPr>
              <w:rPr>
                <w:rFonts w:ascii="Arial" w:hAnsi="Arial" w:cs="Arial"/>
                <w:sz w:val="18"/>
                <w:szCs w:val="20"/>
              </w:rPr>
            </w:pPr>
          </w:p>
        </w:tc>
      </w:tr>
      <w:bookmarkEnd w:id="2"/>
      <w:tr w:rsidR="00246044" w:rsidRPr="00DF1A12"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C965A4C" w14:textId="77777777" w:rsidR="00246044" w:rsidRPr="00260170" w:rsidRDefault="00246044" w:rsidP="00246044">
            <w:pPr>
              <w:spacing w:before="120" w:after="120"/>
              <w:jc w:val="both"/>
              <w:rPr>
                <w:rFonts w:ascii="Arial" w:hAnsi="Arial"/>
                <w:sz w:val="20"/>
                <w:szCs w:val="20"/>
              </w:rPr>
            </w:pPr>
            <w:r w:rsidRPr="00260170">
              <w:rPr>
                <w:rFonts w:ascii="Arial" w:hAnsi="Arial"/>
                <w:sz w:val="20"/>
                <w:szCs w:val="20"/>
              </w:rPr>
              <w:t xml:space="preserve">Fórmula para el cálculo del </w:t>
            </w:r>
            <w:r>
              <w:rPr>
                <w:rFonts w:ascii="Arial" w:hAnsi="Arial"/>
                <w:sz w:val="20"/>
                <w:szCs w:val="20"/>
              </w:rPr>
              <w:t>p</w:t>
            </w:r>
            <w:r w:rsidRPr="00260170">
              <w:rPr>
                <w:rFonts w:ascii="Arial" w:hAnsi="Arial"/>
                <w:sz w:val="20"/>
                <w:szCs w:val="20"/>
              </w:rPr>
              <w:t xml:space="preserve">orcentaje de </w:t>
            </w:r>
            <w:r>
              <w:rPr>
                <w:rFonts w:ascii="Arial" w:hAnsi="Arial"/>
                <w:sz w:val="20"/>
                <w:szCs w:val="20"/>
              </w:rPr>
              <w:t>unidades productoras</w:t>
            </w:r>
            <w:r w:rsidRPr="00260170">
              <w:rPr>
                <w:rFonts w:ascii="Arial" w:hAnsi="Arial"/>
                <w:sz w:val="20"/>
                <w:szCs w:val="20"/>
              </w:rPr>
              <w:t xml:space="preserve"> con</w:t>
            </w:r>
            <w:r>
              <w:rPr>
                <w:rFonts w:ascii="Arial" w:hAnsi="Arial"/>
                <w:sz w:val="20"/>
                <w:szCs w:val="20"/>
              </w:rPr>
              <w:t xml:space="preserve"> el servicio de educación inicial con</w:t>
            </w:r>
            <w:r w:rsidRPr="00260170">
              <w:rPr>
                <w:rFonts w:ascii="Arial" w:hAnsi="Arial"/>
                <w:sz w:val="20"/>
                <w:szCs w:val="20"/>
              </w:rPr>
              <w:t xml:space="preserve"> capacidad instalada inadecuada (</w:t>
            </w:r>
            <m:oMath>
              <m:sSub>
                <m:sSubPr>
                  <m:ctrlPr>
                    <w:rPr>
                      <w:rFonts w:ascii="Cambria Math" w:hAnsi="Cambria Math"/>
                      <w:sz w:val="20"/>
                      <w:szCs w:val="20"/>
                    </w:rPr>
                  </m:ctrlPr>
                </m:sSubPr>
                <m:e>
                  <m:r>
                    <m:rPr>
                      <m:sty m:val="b"/>
                    </m:rPr>
                    <w:rPr>
                      <w:rFonts w:ascii="Cambria Math" w:hAnsi="Cambria Math"/>
                      <w:sz w:val="20"/>
                      <w:szCs w:val="20"/>
                    </w:rPr>
                    <m:t>UPEICII</m:t>
                  </m:r>
                </m:e>
                <m:sub>
                  <m:r>
                    <m:rPr>
                      <m:nor/>
                    </m:rPr>
                    <w:rPr>
                      <w:rFonts w:ascii="Arial" w:hAnsi="Arial"/>
                      <w:sz w:val="20"/>
                      <w:szCs w:val="20"/>
                    </w:rPr>
                    <m:t>t</m:t>
                  </m:r>
                </m:sub>
              </m:sSub>
            </m:oMath>
            <w:r w:rsidRPr="00260170">
              <w:rPr>
                <w:rFonts w:ascii="Arial" w:hAnsi="Arial"/>
                <w:sz w:val="20"/>
                <w:szCs w:val="20"/>
              </w:rPr>
              <w:t>):</w:t>
            </w:r>
          </w:p>
          <w:p w14:paraId="5F13168F" w14:textId="0D376E82" w:rsidR="00246044" w:rsidRDefault="00000000" w:rsidP="00D45F94">
            <w:pPr>
              <w:contextualSpacing/>
              <w:rPr>
                <w:rFonts w:ascii="Arial" w:hAnsi="Arial"/>
                <w:sz w:val="20"/>
                <w:szCs w:val="20"/>
              </w:rPr>
            </w:pPr>
            <m:oMath>
              <m:sSub>
                <m:sSubPr>
                  <m:ctrlPr>
                    <w:rPr>
                      <w:rFonts w:ascii="Cambria Math" w:hAnsi="Cambria Math"/>
                      <w:b/>
                      <w:bCs/>
                      <w:i/>
                    </w:rPr>
                  </m:ctrlPr>
                </m:sSubPr>
                <m:e>
                  <m:r>
                    <m:rPr>
                      <m:sty m:val="b"/>
                    </m:rPr>
                    <w:rPr>
                      <w:rFonts w:ascii="Cambria Math" w:hAnsi="Cambria Math"/>
                      <w:lang w:val="en-US"/>
                    </w:rPr>
                    <m:t>UPEICII</m:t>
                  </m:r>
                </m:e>
                <m:sub>
                  <m:r>
                    <m:rPr>
                      <m:nor/>
                    </m:rPr>
                    <w:rPr>
                      <w:rFonts w:ascii="Arial" w:hAnsi="Arial"/>
                      <w:b/>
                      <w:bCs/>
                      <w:lang w:val="en-US"/>
                    </w:rPr>
                    <m:t>t</m:t>
                  </m:r>
                </m:sub>
              </m:sSub>
              <m:r>
                <w:rPr>
                  <w:rFonts w:ascii="Cambria Math" w:hAnsi="Cambria Math"/>
                  <w:lang w:val="en-US"/>
                </w:rPr>
                <m:t>=</m:t>
              </m:r>
              <m:d>
                <m:dPr>
                  <m:ctrlPr>
                    <w:rPr>
                      <w:rFonts w:ascii="Cambria Math" w:hAnsi="Cambria Math"/>
                      <w:i/>
                      <w:lang w:val="en-US"/>
                    </w:rPr>
                  </m:ctrlPr>
                </m:dPr>
                <m:e>
                  <m:f>
                    <m:fPr>
                      <m:ctrlPr>
                        <w:rPr>
                          <w:rFonts w:ascii="Cambria Math" w:hAnsi="Cambria Math"/>
                        </w:rPr>
                      </m:ctrlPr>
                    </m:fPr>
                    <m:num>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CUPII</m:t>
                              </m:r>
                            </m:e>
                            <m:sub>
                              <m:r>
                                <w:rPr>
                                  <w:rFonts w:ascii="Cambria Math" w:hAnsi="Cambria Math"/>
                                </w:rPr>
                                <m:t>t</m:t>
                              </m:r>
                            </m:sub>
                            <m:sup>
                              <m:r>
                                <w:rPr>
                                  <w:rFonts w:ascii="Cambria Math" w:hAnsi="Cambria Math"/>
                                </w:rPr>
                                <m:t>PN</m:t>
                              </m:r>
                            </m:sup>
                          </m:sSubSup>
                          <m:r>
                            <w:rPr>
                              <w:rFonts w:ascii="Cambria Math" w:hAnsi="Cambria Math"/>
                              <w:lang w:val="en-US"/>
                            </w:rPr>
                            <m:t xml:space="preserve">+ </m:t>
                          </m:r>
                          <m:r>
                            <w:rPr>
                              <w:rFonts w:ascii="Cambria Math" w:hAnsi="Cambria Math"/>
                            </w:rPr>
                            <m:t>CUPII</m:t>
                          </m:r>
                        </m:e>
                        <m:sub>
                          <m:r>
                            <w:rPr>
                              <w:rFonts w:ascii="Cambria Math" w:hAnsi="Cambria Math"/>
                            </w:rPr>
                            <m:t>t</m:t>
                          </m:r>
                        </m:sub>
                        <m:sup>
                          <m:r>
                            <w:rPr>
                              <w:rFonts w:ascii="Cambria Math" w:hAnsi="Cambria Math"/>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CUPII</m:t>
                          </m:r>
                        </m:e>
                        <m:sub>
                          <m:r>
                            <w:rPr>
                              <w:rFonts w:ascii="Cambria Math" w:hAnsi="Cambria Math"/>
                            </w:rPr>
                            <m:t>t</m:t>
                          </m:r>
                        </m:sub>
                        <m:sup>
                          <m:r>
                            <w:rPr>
                              <w:rFonts w:ascii="Cambria Math" w:hAnsi="Cambria Math"/>
                            </w:rPr>
                            <m:t>I</m:t>
                          </m:r>
                        </m:sup>
                      </m:sSubSup>
                    </m:num>
                    <m:den>
                      <m:sSubSup>
                        <m:sSubSupPr>
                          <m:ctrlPr>
                            <w:rPr>
                              <w:rFonts w:ascii="Cambria Math" w:hAnsi="Cambria Math"/>
                              <w:i/>
                            </w:rPr>
                          </m:ctrlPr>
                        </m:sSubSupPr>
                        <m:e>
                          <m:r>
                            <w:rPr>
                              <w:rFonts w:ascii="Cambria Math" w:hAnsi="Cambria Math"/>
                            </w:rPr>
                            <m:t>NI</m:t>
                          </m:r>
                        </m:e>
                        <m:sub>
                          <m:r>
                            <w:rPr>
                              <w:rFonts w:ascii="Cambria Math" w:hAnsi="Cambria Math"/>
                            </w:rPr>
                            <m:t>t</m:t>
                          </m:r>
                        </m:sub>
                        <m:sup>
                          <m:r>
                            <w:rPr>
                              <w:rFonts w:ascii="Cambria Math" w:hAnsi="Cambria Math"/>
                            </w:rPr>
                            <m:t>PN</m:t>
                          </m:r>
                        </m:sup>
                      </m:sSubSup>
                      <m:r>
                        <w:rPr>
                          <w:rFonts w:ascii="Cambria Math" w:hAnsi="Cambria Math"/>
                          <w:lang w:val="en-US"/>
                        </w:rPr>
                        <m:t>+</m:t>
                      </m:r>
                      <m:sSubSup>
                        <m:sSubSupPr>
                          <m:ctrlPr>
                            <w:rPr>
                              <w:rFonts w:ascii="Cambria Math" w:hAnsi="Cambria Math"/>
                              <w:i/>
                            </w:rPr>
                          </m:ctrlPr>
                        </m:sSubSupPr>
                        <m:e>
                          <m:r>
                            <w:rPr>
                              <w:rFonts w:ascii="Cambria Math" w:hAnsi="Cambria Math"/>
                            </w:rPr>
                            <m:t>NI</m:t>
                          </m:r>
                        </m:e>
                        <m:sub>
                          <m:r>
                            <w:rPr>
                              <w:rFonts w:ascii="Cambria Math" w:hAnsi="Cambria Math"/>
                            </w:rPr>
                            <m:t>t</m:t>
                          </m:r>
                        </m:sub>
                        <m:sup>
                          <m:r>
                            <w:rPr>
                              <w:rFonts w:ascii="Cambria Math" w:hAnsi="Cambria Math"/>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NI</m:t>
                          </m:r>
                        </m:e>
                        <m:sub>
                          <m:r>
                            <w:rPr>
                              <w:rFonts w:ascii="Cambria Math" w:hAnsi="Cambria Math"/>
                            </w:rPr>
                            <m:t>t</m:t>
                          </m:r>
                        </m:sub>
                        <m:sup>
                          <m:r>
                            <w:rPr>
                              <w:rFonts w:ascii="Cambria Math" w:hAnsi="Cambria Math"/>
                            </w:rPr>
                            <m:t>I</m:t>
                          </m:r>
                        </m:sup>
                      </m:sSubSup>
                    </m:den>
                  </m:f>
                  <m:ctrlPr>
                    <w:rPr>
                      <w:rFonts w:ascii="Cambria Math" w:hAnsi="Cambria Math"/>
                      <w:lang w:val="en-US"/>
                    </w:rPr>
                  </m:ctrlPr>
                </m:e>
              </m:d>
              <m:r>
                <m:rPr>
                  <m:sty m:val="p"/>
                </m:rPr>
                <w:rPr>
                  <w:rFonts w:ascii="Cambria Math" w:hAnsi="Cambria Math"/>
                  <w:lang w:val="en-US"/>
                </w:rPr>
                <m:t xml:space="preserve">100%= </m:t>
              </m:r>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CTUPII</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CTUPI</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 xml:space="preserve">100%=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m:t>
                          </m:r>
                          <m:r>
                            <w:rPr>
                              <w:rFonts w:ascii="Cambria Math" w:hAnsi="Cambria Math"/>
                              <w:lang w:val="en-US"/>
                            </w:rPr>
                            <m:t>I</m:t>
                          </m:r>
                          <m:r>
                            <w:rPr>
                              <w:rFonts w:ascii="Cambria Math" w:hAnsi="Cambria Math"/>
                              <w:lang w:val="en-US"/>
                            </w:rPr>
                            <m:t>E</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CTUPI</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246044" w:rsidRPr="00E35A37">
              <w:rPr>
                <w:rFonts w:ascii="Arial" w:hAnsi="Arial"/>
                <w:sz w:val="20"/>
                <w:szCs w:val="20"/>
                <w:lang w:val="en-US"/>
              </w:rPr>
              <w:t>.</w:t>
            </w:r>
            <w:r w:rsidR="00D45F94">
              <w:rPr>
                <w:rFonts w:ascii="Arial" w:hAnsi="Arial"/>
                <w:sz w:val="20"/>
                <w:szCs w:val="20"/>
                <w:lang w:val="en-US"/>
              </w:rPr>
              <w:t>...</w:t>
            </w:r>
            <w:r w:rsidR="00246044" w:rsidRPr="00E35A37">
              <w:rPr>
                <w:rFonts w:ascii="Arial" w:hAnsi="Arial"/>
                <w:sz w:val="20"/>
                <w:szCs w:val="20"/>
                <w:lang w:val="en-US"/>
              </w:rPr>
              <w:t xml:space="preserve"> </w:t>
            </w:r>
            <w:r w:rsidR="00246044" w:rsidRPr="00EF17F9">
              <w:rPr>
                <w:rFonts w:ascii="Arial" w:hAnsi="Arial"/>
                <w:sz w:val="20"/>
                <w:szCs w:val="20"/>
              </w:rPr>
              <w:t>(1)</w:t>
            </w:r>
          </w:p>
          <w:p w14:paraId="30625B47" w14:textId="77777777" w:rsidR="00D45F94" w:rsidRDefault="00D45F94" w:rsidP="00D45F94">
            <w:pPr>
              <w:contextualSpacing/>
              <w:rPr>
                <w:rFonts w:ascii="Arial" w:hAnsi="Arial"/>
                <w:sz w:val="20"/>
                <w:szCs w:val="20"/>
              </w:rPr>
            </w:pPr>
          </w:p>
          <w:p w14:paraId="41EB9029" w14:textId="77777777" w:rsidR="00D45F94" w:rsidRDefault="00D45F94" w:rsidP="00D45F94">
            <w:pPr>
              <w:contextualSpacing/>
              <w:rPr>
                <w:rFonts w:ascii="Arial" w:hAnsi="Arial"/>
                <w:sz w:val="20"/>
                <w:szCs w:val="20"/>
              </w:rPr>
            </w:pPr>
          </w:p>
          <w:p w14:paraId="5E8454E3" w14:textId="00F6F784" w:rsidR="00D45F94" w:rsidRPr="00E35A37" w:rsidRDefault="00D45F94" w:rsidP="00D45F94">
            <w:pPr>
              <w:spacing w:before="120" w:after="120"/>
              <w:jc w:val="both"/>
              <w:rPr>
                <w:rFonts w:ascii="Arial" w:hAnsi="Arial"/>
                <w:sz w:val="20"/>
                <w:szCs w:val="20"/>
              </w:rPr>
            </w:pPr>
            <w:r w:rsidRPr="00260170">
              <w:rPr>
                <w:rFonts w:ascii="Arial" w:hAnsi="Arial"/>
                <w:sz w:val="20"/>
                <w:szCs w:val="20"/>
              </w:rPr>
              <w:t>Fórmula</w:t>
            </w:r>
            <w:r>
              <w:rPr>
                <w:rFonts w:ascii="Arial" w:hAnsi="Arial"/>
                <w:sz w:val="20"/>
                <w:szCs w:val="20"/>
              </w:rPr>
              <w:t>s</w:t>
            </w:r>
            <w:r w:rsidRPr="00260170">
              <w:rPr>
                <w:rFonts w:ascii="Arial" w:hAnsi="Arial"/>
                <w:sz w:val="20"/>
                <w:szCs w:val="20"/>
              </w:rPr>
              <w:t xml:space="preserve"> para c</w:t>
            </w:r>
            <w:r>
              <w:rPr>
                <w:rFonts w:ascii="Arial" w:hAnsi="Arial"/>
                <w:sz w:val="20"/>
                <w:szCs w:val="20"/>
              </w:rPr>
              <w:t xml:space="preserve">alcular la </w:t>
            </w:r>
            <w:r w:rsidRPr="00260170">
              <w:rPr>
                <w:rFonts w:ascii="Arial" w:hAnsi="Arial"/>
                <w:sz w:val="20"/>
                <w:szCs w:val="20"/>
              </w:rPr>
              <w:t xml:space="preserve">cantidad </w:t>
            </w:r>
            <w:r>
              <w:rPr>
                <w:rFonts w:ascii="Arial" w:hAnsi="Arial"/>
                <w:sz w:val="20"/>
                <w:szCs w:val="20"/>
              </w:rPr>
              <w:t>de</w:t>
            </w:r>
            <w:r w:rsidRPr="00260170">
              <w:rPr>
                <w:rFonts w:ascii="Arial" w:hAnsi="Arial"/>
                <w:sz w:val="20"/>
                <w:szCs w:val="20"/>
              </w:rPr>
              <w:t xml:space="preserve"> </w:t>
            </w:r>
            <w:r>
              <w:rPr>
                <w:rFonts w:ascii="Arial" w:hAnsi="Arial"/>
                <w:sz w:val="20"/>
                <w:szCs w:val="20"/>
              </w:rPr>
              <w:t>unidades productoras según su</w:t>
            </w:r>
            <w:r w:rsidR="00D13F3B">
              <w:rPr>
                <w:rFonts w:ascii="Arial" w:hAnsi="Arial"/>
                <w:sz w:val="20"/>
                <w:szCs w:val="20"/>
              </w:rPr>
              <w:t xml:space="preserve"> </w:t>
            </w:r>
            <w:r>
              <w:rPr>
                <w:rFonts w:ascii="Arial" w:hAnsi="Arial"/>
                <w:sz w:val="20"/>
                <w:szCs w:val="20"/>
              </w:rPr>
              <w:t>característica:</w:t>
            </w:r>
            <w:r w:rsidRPr="00260170">
              <w:rPr>
                <w:rFonts w:ascii="Arial" w:hAnsi="Arial"/>
                <w:sz w:val="20"/>
                <w:szCs w:val="20"/>
              </w:rPr>
              <w:t xml:space="preserve"> </w:t>
            </w:r>
          </w:p>
          <w:p w14:paraId="15B98107" w14:textId="77777777" w:rsidR="00D45F94" w:rsidRPr="00E35A37" w:rsidRDefault="00000000" w:rsidP="00D45F94">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CUPII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NI</m:t>
                      </m:r>
                    </m:e>
                    <m:sub>
                      <m:r>
                        <w:rPr>
                          <w:rFonts w:ascii="Cambria Math" w:hAnsi="Cambria Math"/>
                          <w:sz w:val="24"/>
                          <w:szCs w:val="24"/>
                        </w:rPr>
                        <m:t>t</m:t>
                      </m:r>
                    </m:sub>
                    <m:sup>
                      <m:r>
                        <w:rPr>
                          <w:rFonts w:ascii="Cambria Math" w:hAnsi="Cambria Math"/>
                          <w:sz w:val="24"/>
                          <w:szCs w:val="24"/>
                        </w:rPr>
                        <m:t>PN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PN</m:t>
                      </m:r>
                    </m:sup>
                  </m:sSubSup>
                </m:e>
              </m:nary>
              <m:r>
                <w:rPr>
                  <w:rFonts w:ascii="Cambria Math" w:hAnsi="Cambria Math"/>
                  <w:sz w:val="24"/>
                  <w:szCs w:val="24"/>
                </w:rPr>
                <m:t>)</m:t>
              </m:r>
            </m:oMath>
            <w:r w:rsidR="00D45F94" w:rsidRPr="00E35A37">
              <w:rPr>
                <w:rFonts w:ascii="Arial" w:hAnsi="Arial"/>
                <w:sz w:val="20"/>
                <w:szCs w:val="20"/>
              </w:rPr>
              <w:t>…… (2)</w:t>
            </w:r>
          </w:p>
          <w:p w14:paraId="0897A6FD" w14:textId="77777777" w:rsidR="00D45F94" w:rsidRPr="00E35A37" w:rsidRDefault="00D45F94" w:rsidP="00D45F94">
            <w:pPr>
              <w:spacing w:before="120" w:after="120"/>
              <w:contextualSpacing/>
              <w:jc w:val="both"/>
              <w:rPr>
                <w:rFonts w:ascii="Arial" w:hAnsi="Arial"/>
                <w:sz w:val="20"/>
                <w:szCs w:val="20"/>
              </w:rPr>
            </w:pPr>
          </w:p>
          <w:p w14:paraId="3CEDE94A" w14:textId="77777777" w:rsidR="00D45F94" w:rsidRDefault="00000000" w:rsidP="00D45F9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D45F94" w:rsidRPr="00E35A37">
              <w:rPr>
                <w:rFonts w:ascii="Arial" w:hAnsi="Arial"/>
                <w:sz w:val="20"/>
                <w:szCs w:val="20"/>
              </w:rPr>
              <w:t xml:space="preserve"> Nivel de inadecuación de</w:t>
            </w:r>
            <w:r w:rsidR="00D45F94">
              <w:rPr>
                <w:rFonts w:ascii="Arial" w:hAnsi="Arial"/>
                <w:sz w:val="20"/>
                <w:szCs w:val="20"/>
              </w:rPr>
              <w:t xml:space="preserve"> la unidad productora i en el tiempo t según la base de datos del Plan Nacional de Infraestructura Educativa</w:t>
            </w:r>
            <w:r w:rsidR="00D45F94" w:rsidRPr="00E35A37">
              <w:rPr>
                <w:rFonts w:ascii="Arial" w:hAnsi="Arial"/>
                <w:sz w:val="20"/>
                <w:szCs w:val="20"/>
              </w:rPr>
              <w:t>, cuyo valor mínimo y máximo es 0 y 1 respectivamente.</w:t>
            </w:r>
          </w:p>
          <w:p w14:paraId="0E1B8A43" w14:textId="77777777" w:rsidR="00D45F94" w:rsidRPr="00E35A37" w:rsidRDefault="00D45F94" w:rsidP="00D45F94">
            <w:pPr>
              <w:spacing w:before="120" w:after="120"/>
              <w:ind w:left="708"/>
              <w:contextualSpacing/>
              <w:jc w:val="both"/>
              <w:rPr>
                <w:rFonts w:ascii="Arial" w:hAnsi="Arial"/>
                <w:sz w:val="20"/>
                <w:szCs w:val="20"/>
              </w:rPr>
            </w:pPr>
          </w:p>
          <w:p w14:paraId="5193DFAA" w14:textId="77777777" w:rsidR="00D45F94" w:rsidRPr="00E35A37" w:rsidRDefault="00000000" w:rsidP="00D45F94">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CUPII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NI</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D45F94" w:rsidRPr="00E35A37">
              <w:rPr>
                <w:rFonts w:ascii="Arial" w:hAnsi="Arial"/>
                <w:sz w:val="20"/>
                <w:szCs w:val="20"/>
              </w:rPr>
              <w:t>……… (3)</w:t>
            </w:r>
          </w:p>
          <w:p w14:paraId="30F866DC" w14:textId="77777777" w:rsidR="00D45F94" w:rsidRPr="00E35A37" w:rsidRDefault="00D45F94" w:rsidP="00D45F94">
            <w:pPr>
              <w:spacing w:before="120" w:after="120"/>
              <w:contextualSpacing/>
              <w:jc w:val="both"/>
              <w:rPr>
                <w:rFonts w:ascii="Arial" w:eastAsiaTheme="minorEastAsia" w:hAnsi="Arial"/>
                <w:sz w:val="20"/>
                <w:szCs w:val="20"/>
              </w:rPr>
            </w:pPr>
          </w:p>
          <w:p w14:paraId="448EC131" w14:textId="77777777" w:rsidR="00D45F94" w:rsidRDefault="00000000" w:rsidP="00D45F9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D45F94" w:rsidRPr="00E35A37">
              <w:rPr>
                <w:rFonts w:ascii="Arial" w:hAnsi="Arial"/>
                <w:sz w:val="20"/>
                <w:szCs w:val="20"/>
              </w:rPr>
              <w:t xml:space="preserve"> Variable dicotómica que obtiene el valor de 1 cuando tiene al menos 1 ambiente de</w:t>
            </w:r>
            <w:r w:rsidR="00D45F94">
              <w:rPr>
                <w:rFonts w:ascii="Arial" w:hAnsi="Arial"/>
                <w:sz w:val="20"/>
                <w:szCs w:val="20"/>
              </w:rPr>
              <w:t xml:space="preserve"> la unidad productora</w:t>
            </w:r>
            <w:r w:rsidR="00D45F94" w:rsidRPr="00E35A37">
              <w:rPr>
                <w:rFonts w:ascii="Arial" w:hAnsi="Arial"/>
                <w:sz w:val="20"/>
                <w:szCs w:val="20"/>
              </w:rPr>
              <w:t xml:space="preserve"> diferente al buen estado, según </w:t>
            </w:r>
            <w:r w:rsidR="00D45F94">
              <w:rPr>
                <w:rFonts w:ascii="Arial" w:hAnsi="Arial"/>
                <w:sz w:val="20"/>
                <w:szCs w:val="20"/>
              </w:rPr>
              <w:t>la base de datos d</w:t>
            </w:r>
            <w:r w:rsidR="00D45F94" w:rsidRPr="00E35A37">
              <w:rPr>
                <w:rFonts w:ascii="Arial" w:hAnsi="Arial"/>
                <w:sz w:val="20"/>
                <w:szCs w:val="20"/>
              </w:rPr>
              <w:t>el Censo Escolar en el tiempo t.</w:t>
            </w:r>
          </w:p>
          <w:p w14:paraId="33964247" w14:textId="77777777" w:rsidR="00D45F94" w:rsidRDefault="00D45F94" w:rsidP="00D45F94">
            <w:pPr>
              <w:spacing w:before="120" w:after="120"/>
              <w:contextualSpacing/>
              <w:jc w:val="both"/>
              <w:rPr>
                <w:rFonts w:ascii="Arial" w:hAnsi="Arial"/>
                <w:sz w:val="20"/>
                <w:szCs w:val="20"/>
              </w:rPr>
            </w:pPr>
          </w:p>
          <w:p w14:paraId="26797097" w14:textId="77777777" w:rsidR="00D45F94" w:rsidRPr="00E35A37" w:rsidRDefault="00000000" w:rsidP="00D45F94">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CUPII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NI</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D45F94">
              <w:rPr>
                <w:rFonts w:ascii="Arial" w:hAnsi="Arial"/>
                <w:sz w:val="20"/>
                <w:szCs w:val="20"/>
              </w:rPr>
              <w:t>……… (4</w:t>
            </w:r>
            <w:r w:rsidR="00D45F94" w:rsidRPr="00E35A37">
              <w:rPr>
                <w:rFonts w:ascii="Arial" w:hAnsi="Arial"/>
                <w:sz w:val="20"/>
                <w:szCs w:val="20"/>
              </w:rPr>
              <w:t>)</w:t>
            </w:r>
          </w:p>
          <w:p w14:paraId="1BE11FAF" w14:textId="77777777" w:rsidR="00D45F94" w:rsidRPr="00E35A37" w:rsidRDefault="00D45F94" w:rsidP="00D45F94">
            <w:pPr>
              <w:spacing w:before="120" w:after="120"/>
              <w:contextualSpacing/>
              <w:jc w:val="both"/>
              <w:rPr>
                <w:rFonts w:ascii="Arial" w:eastAsiaTheme="minorEastAsia" w:hAnsi="Arial"/>
                <w:sz w:val="20"/>
                <w:szCs w:val="20"/>
              </w:rPr>
            </w:pPr>
          </w:p>
          <w:p w14:paraId="26893359" w14:textId="77777777" w:rsidR="00D45F94" w:rsidRDefault="00000000" w:rsidP="00D45F9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D45F94" w:rsidRPr="00E35A37">
              <w:rPr>
                <w:rFonts w:ascii="Arial" w:hAnsi="Arial"/>
                <w:sz w:val="20"/>
                <w:szCs w:val="20"/>
              </w:rPr>
              <w:t xml:space="preserve"> Variable dicotómica que obtiene el valor de 1 cuando </w:t>
            </w:r>
            <w:r w:rsidR="00D45F94">
              <w:rPr>
                <w:rFonts w:ascii="Arial" w:hAnsi="Arial"/>
                <w:sz w:val="20"/>
                <w:szCs w:val="20"/>
              </w:rPr>
              <w:t>el estado de la capacidad instalada es inadecuado y 0 cuando el estado de la capacidad instalada es adecuado según la Base de Datos de Monitoreo del Estado de las Unidades Productoras en el Marco del Invierte.pe,</w:t>
            </w:r>
            <w:r w:rsidR="00D45F94" w:rsidRPr="00E35A37">
              <w:rPr>
                <w:rFonts w:ascii="Arial" w:hAnsi="Arial"/>
                <w:sz w:val="20"/>
                <w:szCs w:val="20"/>
              </w:rPr>
              <w:t xml:space="preserve"> en el tiempo t.</w:t>
            </w:r>
          </w:p>
          <w:p w14:paraId="7883AEB3" w14:textId="77777777" w:rsidR="00D45F94" w:rsidRDefault="00D45F94" w:rsidP="00D45F94">
            <w:pPr>
              <w:spacing w:before="120" w:after="120"/>
              <w:ind w:left="708"/>
              <w:contextualSpacing/>
              <w:jc w:val="both"/>
              <w:rPr>
                <w:rFonts w:ascii="Arial" w:hAnsi="Arial"/>
                <w:sz w:val="20"/>
                <w:szCs w:val="20"/>
              </w:rPr>
            </w:pPr>
          </w:p>
          <w:p w14:paraId="0FC7D908" w14:textId="625B27F3" w:rsidR="00D45F94" w:rsidRPr="00E35A37" w:rsidRDefault="00000000" w:rsidP="00254483">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CTUPIA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CTUPIN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CTUPII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CTUPIE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CTUPII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NI</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NI</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NI</m:t>
                  </m:r>
                </m:e>
                <m:sub>
                  <m:r>
                    <w:rPr>
                      <w:rFonts w:ascii="Cambria Math" w:hAnsi="Cambria Math"/>
                      <w:sz w:val="20"/>
                      <w:szCs w:val="20"/>
                    </w:rPr>
                    <m:t>t</m:t>
                  </m:r>
                </m:sub>
                <m:sup>
                  <m:r>
                    <w:rPr>
                      <w:rFonts w:ascii="Cambria Math" w:hAnsi="Cambria Math"/>
                      <w:sz w:val="20"/>
                      <w:szCs w:val="20"/>
                    </w:rPr>
                    <m:t>I</m:t>
                  </m:r>
                </m:sup>
              </m:sSubSup>
            </m:oMath>
            <w:r w:rsidR="00D45F94">
              <w:rPr>
                <w:rFonts w:ascii="Arial" w:eastAsiaTheme="minorEastAsia" w:hAnsi="Arial"/>
                <w:sz w:val="24"/>
                <w:szCs w:val="24"/>
              </w:rPr>
              <w:t xml:space="preserve">  </w:t>
            </w:r>
            <w:r w:rsidR="00D45F94" w:rsidRPr="00E35A37">
              <w:rPr>
                <w:rFonts w:ascii="Arial" w:hAnsi="Arial"/>
                <w:sz w:val="20"/>
                <w:szCs w:val="20"/>
              </w:rPr>
              <w:t>…… (</w:t>
            </w:r>
            <w:r w:rsidR="00254483">
              <w:rPr>
                <w:rFonts w:ascii="Arial" w:hAnsi="Arial"/>
                <w:sz w:val="20"/>
                <w:szCs w:val="20"/>
              </w:rPr>
              <w:t>5</w:t>
            </w:r>
            <w:r w:rsidR="00D45F94" w:rsidRPr="00E35A37">
              <w:rPr>
                <w:rFonts w:ascii="Arial" w:hAnsi="Arial"/>
                <w:sz w:val="20"/>
                <w:szCs w:val="20"/>
              </w:rPr>
              <w:t>)</w:t>
            </w:r>
          </w:p>
          <w:p w14:paraId="422ABD04" w14:textId="77777777" w:rsidR="00D45F94" w:rsidRDefault="00D45F94" w:rsidP="00954049">
            <w:pPr>
              <w:contextualSpacing/>
              <w:rPr>
                <w:rFonts w:ascii="Arial" w:hAnsi="Arial"/>
                <w:sz w:val="20"/>
                <w:szCs w:val="20"/>
              </w:rPr>
            </w:pPr>
          </w:p>
          <w:p w14:paraId="3ECF9D7D" w14:textId="77777777" w:rsidR="00D45F94" w:rsidRDefault="00D45F94" w:rsidP="00246044">
            <w:pPr>
              <w:contextualSpacing/>
              <w:jc w:val="center"/>
              <w:rPr>
                <w:rFonts w:ascii="Arial" w:hAnsi="Arial"/>
                <w:sz w:val="20"/>
                <w:szCs w:val="20"/>
              </w:rPr>
            </w:pPr>
          </w:p>
          <w:p w14:paraId="4142760D" w14:textId="786C6AD0" w:rsidR="00D45F94" w:rsidRDefault="00254483" w:rsidP="00954049">
            <w:pPr>
              <w:contextualSpacing/>
              <w:rPr>
                <w:rFonts w:ascii="Arial" w:hAnsi="Arial"/>
                <w:sz w:val="20"/>
                <w:szCs w:val="20"/>
              </w:rPr>
            </w:pPr>
            <w:r>
              <w:rPr>
                <w:rFonts w:ascii="Arial" w:hAnsi="Arial"/>
                <w:sz w:val="20"/>
                <w:szCs w:val="20"/>
              </w:rPr>
              <w:t xml:space="preserve">Donde: </w:t>
            </w:r>
          </w:p>
          <w:p w14:paraId="7A555D03" w14:textId="77777777" w:rsidR="00246044" w:rsidRDefault="00246044" w:rsidP="00246044">
            <w:pPr>
              <w:contextualSpacing/>
              <w:jc w:val="center"/>
              <w:rPr>
                <w:rFonts w:ascii="Arial" w:hAnsi="Arial"/>
                <w:sz w:val="20"/>
                <w:szCs w:val="20"/>
              </w:rPr>
            </w:pPr>
          </w:p>
          <w:p w14:paraId="37DE3FF7" w14:textId="77777777" w:rsidR="00246044" w:rsidRPr="00E35A37" w:rsidRDefault="00000000" w:rsidP="002460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246044" w:rsidRPr="00E35A37">
              <w:rPr>
                <w:rFonts w:ascii="Arial" w:hAnsi="Arial"/>
                <w:sz w:val="20"/>
                <w:szCs w:val="20"/>
              </w:rPr>
              <w:t xml:space="preserve"> Cant</w:t>
            </w:r>
            <w:r w:rsidR="00246044">
              <w:rPr>
                <w:rFonts w:ascii="Arial" w:hAnsi="Arial"/>
                <w:sz w:val="20"/>
                <w:szCs w:val="20"/>
              </w:rPr>
              <w:t>idad total de unidades productoras</w:t>
            </w:r>
            <w:r w:rsidR="00246044" w:rsidRPr="00E35A37">
              <w:rPr>
                <w:rFonts w:ascii="Arial" w:hAnsi="Arial"/>
                <w:sz w:val="20"/>
                <w:szCs w:val="20"/>
              </w:rPr>
              <w:t xml:space="preserve"> con </w:t>
            </w:r>
            <w:r w:rsidR="00246044">
              <w:rPr>
                <w:rFonts w:ascii="Arial" w:hAnsi="Arial"/>
                <w:sz w:val="20"/>
                <w:szCs w:val="20"/>
              </w:rPr>
              <w:t xml:space="preserve">el </w:t>
            </w:r>
            <w:r w:rsidR="00246044" w:rsidRPr="00E35A37">
              <w:rPr>
                <w:rFonts w:ascii="Arial" w:hAnsi="Arial"/>
                <w:sz w:val="20"/>
                <w:szCs w:val="20"/>
              </w:rPr>
              <w:t xml:space="preserve">servicio de Educación </w:t>
            </w:r>
            <w:r w:rsidR="00246044">
              <w:rPr>
                <w:rFonts w:ascii="Arial" w:hAnsi="Arial"/>
                <w:bCs/>
                <w:sz w:val="20"/>
                <w:szCs w:val="20"/>
                <w:lang w:val="es-MX"/>
              </w:rPr>
              <w:t>Inicial</w:t>
            </w:r>
            <w:r w:rsidR="00246044">
              <w:rPr>
                <w:rFonts w:ascii="Arial" w:hAnsi="Arial"/>
                <w:sz w:val="20"/>
                <w:szCs w:val="20"/>
              </w:rPr>
              <w:t xml:space="preserve"> identificadas en la Base de Datos de Monitoreo del Estado de las Unidades Productoras en el Marco del Invierte.pe</w:t>
            </w:r>
            <w:r w:rsidR="00246044" w:rsidRPr="00E35A37">
              <w:rPr>
                <w:rFonts w:ascii="Arial" w:hAnsi="Arial"/>
                <w:sz w:val="20"/>
                <w:szCs w:val="20"/>
              </w:rPr>
              <w:t xml:space="preserve"> en el tiempo t.</w:t>
            </w:r>
          </w:p>
          <w:p w14:paraId="6448B494" w14:textId="77777777" w:rsidR="00246044" w:rsidRPr="00EF17F9" w:rsidRDefault="00246044" w:rsidP="00246044">
            <w:pPr>
              <w:contextualSpacing/>
              <w:jc w:val="both"/>
              <w:rPr>
                <w:rFonts w:ascii="Arial" w:hAnsi="Arial"/>
                <w:i/>
                <w:sz w:val="20"/>
                <w:szCs w:val="20"/>
              </w:rPr>
            </w:pPr>
          </w:p>
          <w:p w14:paraId="54448767" w14:textId="77777777" w:rsidR="00246044" w:rsidRPr="00E35A37" w:rsidRDefault="00000000" w:rsidP="002460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NI</m:t>
                  </m:r>
                </m:e>
                <m:sub>
                  <m:r>
                    <w:rPr>
                      <w:rFonts w:ascii="Cambria Math" w:hAnsi="Cambria Math"/>
                      <w:sz w:val="20"/>
                      <w:szCs w:val="20"/>
                    </w:rPr>
                    <m:t>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246044" w:rsidRPr="00E35A37">
              <w:rPr>
                <w:rFonts w:ascii="Arial" w:hAnsi="Arial"/>
                <w:sz w:val="20"/>
                <w:szCs w:val="20"/>
              </w:rPr>
              <w:t xml:space="preserve"> Cantidad total de </w:t>
            </w:r>
            <w:r w:rsidR="00246044">
              <w:rPr>
                <w:rFonts w:ascii="Arial" w:hAnsi="Arial"/>
                <w:sz w:val="20"/>
                <w:szCs w:val="20"/>
              </w:rPr>
              <w:t>unidades productoras</w:t>
            </w:r>
            <w:r w:rsidR="00246044" w:rsidRPr="00E35A37">
              <w:rPr>
                <w:rFonts w:ascii="Arial" w:hAnsi="Arial"/>
                <w:sz w:val="20"/>
                <w:szCs w:val="20"/>
              </w:rPr>
              <w:t xml:space="preserve"> con servicio de Educación </w:t>
            </w:r>
            <w:r w:rsidR="00246044" w:rsidRPr="00E35A37">
              <w:rPr>
                <w:rFonts w:ascii="Arial" w:hAnsi="Arial"/>
                <w:bCs/>
                <w:sz w:val="20"/>
                <w:szCs w:val="20"/>
                <w:lang w:val="es-MX"/>
              </w:rPr>
              <w:t>Inicial</w:t>
            </w:r>
            <w:r w:rsidR="00246044">
              <w:rPr>
                <w:rFonts w:ascii="Arial" w:hAnsi="Arial"/>
                <w:bCs/>
                <w:sz w:val="20"/>
                <w:szCs w:val="20"/>
                <w:lang w:val="es-MX"/>
              </w:rPr>
              <w:t xml:space="preserve"> identificadas en la Base de Datos del Plan Nacional de Infraestructura Educativa, pero no</w:t>
            </w:r>
            <w:r w:rsidR="00246044" w:rsidRPr="00E35A37">
              <w:rPr>
                <w:rFonts w:ascii="Arial" w:hAnsi="Arial"/>
                <w:sz w:val="20"/>
                <w:szCs w:val="20"/>
              </w:rPr>
              <w:t xml:space="preserve"> incluid</w:t>
            </w:r>
            <w:r w:rsidR="00246044">
              <w:rPr>
                <w:rFonts w:ascii="Arial" w:hAnsi="Arial"/>
                <w:sz w:val="20"/>
                <w:szCs w:val="20"/>
              </w:rPr>
              <w:t>a</w:t>
            </w:r>
            <w:r w:rsidR="00246044" w:rsidRPr="00E35A37">
              <w:rPr>
                <w:rFonts w:ascii="Arial" w:hAnsi="Arial"/>
                <w:sz w:val="20"/>
                <w:szCs w:val="20"/>
              </w:rPr>
              <w:t xml:space="preserve">s en la </w:t>
            </w:r>
            <w:r w:rsidR="00246044">
              <w:rPr>
                <w:rFonts w:ascii="Arial" w:hAnsi="Arial"/>
                <w:sz w:val="20"/>
                <w:szCs w:val="20"/>
              </w:rPr>
              <w:t>B</w:t>
            </w:r>
            <w:r w:rsidR="00246044" w:rsidRPr="00E35A37">
              <w:rPr>
                <w:rFonts w:ascii="Arial" w:hAnsi="Arial"/>
                <w:sz w:val="20"/>
                <w:szCs w:val="20"/>
              </w:rPr>
              <w:t xml:space="preserve">ase de </w:t>
            </w:r>
            <w:r w:rsidR="00246044">
              <w:rPr>
                <w:rFonts w:ascii="Arial" w:hAnsi="Arial"/>
                <w:sz w:val="20"/>
                <w:szCs w:val="20"/>
              </w:rPr>
              <w:t>Datos de M</w:t>
            </w:r>
            <w:r w:rsidR="00246044" w:rsidRPr="00E35A37">
              <w:rPr>
                <w:rFonts w:ascii="Arial" w:hAnsi="Arial"/>
                <w:sz w:val="20"/>
                <w:szCs w:val="20"/>
              </w:rPr>
              <w:t xml:space="preserve">onitoreo </w:t>
            </w:r>
            <w:r w:rsidR="00246044">
              <w:rPr>
                <w:rFonts w:ascii="Arial" w:hAnsi="Arial"/>
                <w:sz w:val="20"/>
                <w:szCs w:val="20"/>
              </w:rPr>
              <w:t>del Estado de las Unidades Productoras en el Marco del Invierte.pe</w:t>
            </w:r>
            <w:r w:rsidR="00246044" w:rsidRPr="00E35A37">
              <w:rPr>
                <w:rFonts w:ascii="Arial" w:hAnsi="Arial"/>
                <w:sz w:val="20"/>
                <w:szCs w:val="20"/>
              </w:rPr>
              <w:t xml:space="preserve"> en el tiempo t.</w:t>
            </w:r>
          </w:p>
          <w:p w14:paraId="640B5B00" w14:textId="77777777" w:rsidR="00246044" w:rsidRPr="00E35A37" w:rsidRDefault="00246044" w:rsidP="00246044">
            <w:pPr>
              <w:spacing w:before="120" w:after="120"/>
              <w:ind w:left="708"/>
              <w:contextualSpacing/>
              <w:jc w:val="both"/>
              <w:rPr>
                <w:rFonts w:ascii="Arial" w:hAnsi="Arial"/>
                <w:sz w:val="20"/>
                <w:szCs w:val="20"/>
              </w:rPr>
            </w:pPr>
          </w:p>
          <w:p w14:paraId="22AEEE03" w14:textId="77777777" w:rsidR="00246044" w:rsidRDefault="00000000" w:rsidP="002460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NI</m:t>
                  </m:r>
                </m:e>
                <m:sub>
                  <m:r>
                    <w:rPr>
                      <w:rFonts w:ascii="Cambria Math" w:hAnsi="Cambria Math"/>
                      <w:sz w:val="20"/>
                      <w:szCs w:val="20"/>
                    </w:rPr>
                    <m:t>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246044" w:rsidRPr="00E35A37">
              <w:rPr>
                <w:rFonts w:ascii="Arial" w:hAnsi="Arial"/>
                <w:sz w:val="20"/>
                <w:szCs w:val="20"/>
              </w:rPr>
              <w:t xml:space="preserve"> Cantidad total de </w:t>
            </w:r>
            <w:r w:rsidR="00246044">
              <w:rPr>
                <w:rFonts w:ascii="Arial" w:hAnsi="Arial"/>
                <w:sz w:val="20"/>
                <w:szCs w:val="20"/>
              </w:rPr>
              <w:t>unidades productoras</w:t>
            </w:r>
            <w:r w:rsidR="00246044" w:rsidRPr="00E35A37">
              <w:rPr>
                <w:rFonts w:ascii="Arial" w:hAnsi="Arial"/>
                <w:sz w:val="20"/>
                <w:szCs w:val="20"/>
              </w:rPr>
              <w:t xml:space="preserve"> con servicio de Educación </w:t>
            </w:r>
            <w:r w:rsidR="00246044" w:rsidRPr="00E35A37">
              <w:rPr>
                <w:rFonts w:ascii="Arial" w:hAnsi="Arial"/>
                <w:bCs/>
                <w:sz w:val="20"/>
                <w:szCs w:val="20"/>
                <w:lang w:val="es-MX"/>
              </w:rPr>
              <w:t>Inicial</w:t>
            </w:r>
            <w:r w:rsidR="00246044">
              <w:rPr>
                <w:rFonts w:ascii="Arial" w:hAnsi="Arial"/>
                <w:bCs/>
                <w:sz w:val="20"/>
                <w:szCs w:val="20"/>
                <w:lang w:val="es-MX"/>
              </w:rPr>
              <w:t xml:space="preserve"> identificadas en la Base de Datos del Censo Educativo, pero</w:t>
            </w:r>
            <w:r w:rsidR="00246044" w:rsidRPr="00E35A37">
              <w:rPr>
                <w:rFonts w:ascii="Arial" w:hAnsi="Arial"/>
                <w:bCs/>
                <w:sz w:val="20"/>
                <w:szCs w:val="20"/>
                <w:lang w:val="es-MX"/>
              </w:rPr>
              <w:t xml:space="preserve"> no</w:t>
            </w:r>
            <w:r w:rsidR="00246044" w:rsidRPr="00E35A37">
              <w:rPr>
                <w:rFonts w:ascii="Arial" w:hAnsi="Arial"/>
                <w:sz w:val="20"/>
                <w:szCs w:val="20"/>
              </w:rPr>
              <w:t xml:space="preserve"> incluid</w:t>
            </w:r>
            <w:r w:rsidR="00246044">
              <w:rPr>
                <w:rFonts w:ascii="Arial" w:hAnsi="Arial"/>
                <w:sz w:val="20"/>
                <w:szCs w:val="20"/>
              </w:rPr>
              <w:t>a</w:t>
            </w:r>
            <w:r w:rsidR="00246044" w:rsidRPr="00E35A37">
              <w:rPr>
                <w:rFonts w:ascii="Arial" w:hAnsi="Arial"/>
                <w:sz w:val="20"/>
                <w:szCs w:val="20"/>
              </w:rPr>
              <w:t xml:space="preserve">s en </w:t>
            </w:r>
            <w:r w:rsidR="00246044">
              <w:rPr>
                <w:rFonts w:ascii="Arial" w:hAnsi="Arial"/>
                <w:sz w:val="20"/>
                <w:szCs w:val="20"/>
              </w:rPr>
              <w:t xml:space="preserve">la Base de Datos del </w:t>
            </w:r>
            <w:r w:rsidR="00246044" w:rsidRPr="00E35A37">
              <w:rPr>
                <w:rFonts w:ascii="Arial" w:hAnsi="Arial"/>
                <w:sz w:val="20"/>
                <w:szCs w:val="20"/>
              </w:rPr>
              <w:t>Plan Nacional de Infraestructura Educativa</w:t>
            </w:r>
            <w:r w:rsidR="00246044">
              <w:rPr>
                <w:rFonts w:ascii="Arial" w:hAnsi="Arial"/>
                <w:sz w:val="20"/>
                <w:szCs w:val="20"/>
              </w:rPr>
              <w:t xml:space="preserve"> ni en la Base de Datos de Monitoreo del Estado de las Unidades Productoras en el Marco del Invierte.pe</w:t>
            </w:r>
            <w:r w:rsidR="00246044" w:rsidRPr="00E35A37">
              <w:rPr>
                <w:rFonts w:ascii="Arial" w:hAnsi="Arial"/>
                <w:sz w:val="20"/>
                <w:szCs w:val="20"/>
              </w:rPr>
              <w:t xml:space="preserve"> en el tiempo t.</w:t>
            </w:r>
          </w:p>
          <w:p w14:paraId="2BEDA8DB" w14:textId="77777777" w:rsidR="00246044" w:rsidRDefault="00246044" w:rsidP="00246044">
            <w:pPr>
              <w:spacing w:before="120" w:after="120"/>
              <w:ind w:left="708"/>
              <w:contextualSpacing/>
              <w:jc w:val="both"/>
              <w:rPr>
                <w:rFonts w:ascii="Arial" w:hAnsi="Arial"/>
                <w:sz w:val="20"/>
                <w:szCs w:val="20"/>
              </w:rPr>
            </w:pPr>
          </w:p>
          <w:p w14:paraId="5773A323" w14:textId="77777777" w:rsidR="00246044" w:rsidRPr="00E35A37" w:rsidRDefault="00000000" w:rsidP="002460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CUPII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246044">
              <w:rPr>
                <w:rFonts w:ascii="Arial" w:hAnsi="Arial"/>
                <w:sz w:val="20"/>
                <w:szCs w:val="20"/>
              </w:rPr>
              <w:t xml:space="preserve"> Cantidad de unidades productoras</w:t>
            </w:r>
            <w:r w:rsidR="00246044" w:rsidRPr="00E35A37">
              <w:rPr>
                <w:rFonts w:ascii="Arial" w:hAnsi="Arial"/>
                <w:sz w:val="20"/>
                <w:szCs w:val="20"/>
              </w:rPr>
              <w:t xml:space="preserve"> con </w:t>
            </w:r>
            <w:r w:rsidR="00246044">
              <w:rPr>
                <w:rFonts w:ascii="Arial" w:hAnsi="Arial"/>
                <w:sz w:val="20"/>
                <w:szCs w:val="20"/>
              </w:rPr>
              <w:t xml:space="preserve">el </w:t>
            </w:r>
            <w:r w:rsidR="00246044" w:rsidRPr="00E35A37">
              <w:rPr>
                <w:rFonts w:ascii="Arial" w:hAnsi="Arial"/>
                <w:sz w:val="20"/>
                <w:szCs w:val="20"/>
              </w:rPr>
              <w:t xml:space="preserve">servicio de Educación </w:t>
            </w:r>
            <w:r w:rsidR="00246044">
              <w:rPr>
                <w:rFonts w:ascii="Arial" w:hAnsi="Arial"/>
                <w:bCs/>
                <w:sz w:val="20"/>
                <w:szCs w:val="20"/>
                <w:lang w:val="es-MX"/>
              </w:rPr>
              <w:t>Inicial con</w:t>
            </w:r>
            <w:r w:rsidR="00246044" w:rsidRPr="00E35A37">
              <w:rPr>
                <w:rFonts w:ascii="Arial" w:hAnsi="Arial"/>
                <w:bCs/>
                <w:sz w:val="20"/>
                <w:szCs w:val="20"/>
                <w:lang w:val="es-MX"/>
              </w:rPr>
              <w:t xml:space="preserve"> capacidad instalada inadecuada</w:t>
            </w:r>
            <w:r w:rsidR="00246044">
              <w:rPr>
                <w:rFonts w:ascii="Arial" w:hAnsi="Arial"/>
                <w:sz w:val="20"/>
                <w:szCs w:val="20"/>
              </w:rPr>
              <w:t xml:space="preserve"> identificadas en la B</w:t>
            </w:r>
            <w:r w:rsidR="00246044" w:rsidRPr="00E35A37">
              <w:rPr>
                <w:rFonts w:ascii="Arial" w:hAnsi="Arial"/>
                <w:sz w:val="20"/>
                <w:szCs w:val="20"/>
              </w:rPr>
              <w:t xml:space="preserve">ase de </w:t>
            </w:r>
            <w:r w:rsidR="00246044">
              <w:rPr>
                <w:rFonts w:ascii="Arial" w:hAnsi="Arial"/>
                <w:sz w:val="20"/>
                <w:szCs w:val="20"/>
              </w:rPr>
              <w:t>Datos de M</w:t>
            </w:r>
            <w:r w:rsidR="00246044" w:rsidRPr="00E35A37">
              <w:rPr>
                <w:rFonts w:ascii="Arial" w:hAnsi="Arial"/>
                <w:sz w:val="20"/>
                <w:szCs w:val="20"/>
              </w:rPr>
              <w:t>onitoreo del</w:t>
            </w:r>
            <w:r w:rsidR="00246044">
              <w:rPr>
                <w:rFonts w:ascii="Arial" w:hAnsi="Arial"/>
                <w:sz w:val="20"/>
                <w:szCs w:val="20"/>
              </w:rPr>
              <w:t xml:space="preserve"> Estado de las Unidades Productoras</w:t>
            </w:r>
            <w:r w:rsidR="00246044" w:rsidRPr="00E35A37">
              <w:rPr>
                <w:rFonts w:ascii="Arial" w:hAnsi="Arial"/>
                <w:sz w:val="20"/>
                <w:szCs w:val="20"/>
              </w:rPr>
              <w:t xml:space="preserve"> </w:t>
            </w:r>
            <w:r w:rsidR="00246044">
              <w:rPr>
                <w:rFonts w:ascii="Arial" w:hAnsi="Arial"/>
                <w:sz w:val="20"/>
                <w:szCs w:val="20"/>
              </w:rPr>
              <w:t>en el Marco del Invierte.pe e</w:t>
            </w:r>
            <w:r w:rsidR="00246044" w:rsidRPr="00E35A37">
              <w:rPr>
                <w:rFonts w:ascii="Arial" w:hAnsi="Arial"/>
                <w:sz w:val="20"/>
                <w:szCs w:val="20"/>
              </w:rPr>
              <w:t>n el tiempo t.</w:t>
            </w:r>
          </w:p>
          <w:p w14:paraId="0A465DCB" w14:textId="77777777" w:rsidR="00246044" w:rsidRPr="00E35A37" w:rsidRDefault="00246044" w:rsidP="00246044">
            <w:pPr>
              <w:spacing w:before="120" w:after="120"/>
              <w:contextualSpacing/>
              <w:jc w:val="both"/>
              <w:rPr>
                <w:rFonts w:ascii="Arial" w:hAnsi="Arial"/>
                <w:sz w:val="20"/>
                <w:szCs w:val="20"/>
              </w:rPr>
            </w:pPr>
          </w:p>
          <w:p w14:paraId="4888F3B0" w14:textId="77777777" w:rsidR="00246044" w:rsidRPr="00E35A37" w:rsidRDefault="00000000" w:rsidP="002460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CUPII</m:t>
                  </m:r>
                </m:e>
                <m:sub>
                  <m:r>
                    <w:rPr>
                      <w:rFonts w:ascii="Cambria Math" w:hAnsi="Cambria Math"/>
                      <w:sz w:val="20"/>
                      <w:szCs w:val="20"/>
                    </w:rPr>
                    <m:t>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246044" w:rsidRPr="00E35A37">
              <w:rPr>
                <w:rFonts w:ascii="Arial" w:hAnsi="Arial"/>
                <w:sz w:val="20"/>
                <w:szCs w:val="20"/>
              </w:rPr>
              <w:t xml:space="preserve"> Cantidad de </w:t>
            </w:r>
            <w:r w:rsidR="00246044">
              <w:rPr>
                <w:rFonts w:ascii="Arial" w:hAnsi="Arial"/>
                <w:sz w:val="20"/>
                <w:szCs w:val="20"/>
              </w:rPr>
              <w:t>unidades productoras</w:t>
            </w:r>
            <w:r w:rsidR="00246044" w:rsidRPr="00E35A37">
              <w:rPr>
                <w:rFonts w:ascii="Arial" w:hAnsi="Arial"/>
                <w:sz w:val="20"/>
                <w:szCs w:val="20"/>
              </w:rPr>
              <w:t xml:space="preserve"> con </w:t>
            </w:r>
            <w:r w:rsidR="00246044">
              <w:rPr>
                <w:rFonts w:ascii="Arial" w:hAnsi="Arial"/>
                <w:sz w:val="20"/>
                <w:szCs w:val="20"/>
              </w:rPr>
              <w:t xml:space="preserve">el </w:t>
            </w:r>
            <w:r w:rsidR="00246044" w:rsidRPr="00E35A37">
              <w:rPr>
                <w:rFonts w:ascii="Arial" w:hAnsi="Arial"/>
                <w:sz w:val="20"/>
                <w:szCs w:val="20"/>
              </w:rPr>
              <w:t xml:space="preserve">servicio de Educación </w:t>
            </w:r>
            <w:r w:rsidR="00246044" w:rsidRPr="00E35A37">
              <w:rPr>
                <w:rFonts w:ascii="Arial" w:hAnsi="Arial"/>
                <w:bCs/>
                <w:sz w:val="20"/>
                <w:szCs w:val="20"/>
                <w:lang w:val="es-MX"/>
              </w:rPr>
              <w:t xml:space="preserve">Inicial </w:t>
            </w:r>
            <w:r w:rsidR="00246044">
              <w:rPr>
                <w:rFonts w:ascii="Arial" w:hAnsi="Arial"/>
                <w:bCs/>
                <w:sz w:val="20"/>
                <w:szCs w:val="20"/>
                <w:lang w:val="es-MX"/>
              </w:rPr>
              <w:t>con</w:t>
            </w:r>
            <w:r w:rsidR="00246044" w:rsidRPr="00E35A37">
              <w:rPr>
                <w:rFonts w:ascii="Arial" w:hAnsi="Arial"/>
                <w:bCs/>
                <w:sz w:val="20"/>
                <w:szCs w:val="20"/>
                <w:lang w:val="es-MX"/>
              </w:rPr>
              <w:t xml:space="preserve"> capacidad instalada inadecuada</w:t>
            </w:r>
            <w:r w:rsidR="00246044">
              <w:rPr>
                <w:rFonts w:ascii="Arial" w:hAnsi="Arial"/>
                <w:bCs/>
                <w:sz w:val="20"/>
                <w:szCs w:val="20"/>
                <w:lang w:val="es-MX"/>
              </w:rPr>
              <w:t xml:space="preserve"> identificadas en la Base de</w:t>
            </w:r>
            <w:r w:rsidR="00246044" w:rsidRPr="00E35A37">
              <w:rPr>
                <w:rFonts w:ascii="Arial" w:hAnsi="Arial"/>
                <w:sz w:val="20"/>
                <w:szCs w:val="20"/>
              </w:rPr>
              <w:t xml:space="preserve"> </w:t>
            </w:r>
            <w:r w:rsidR="00246044">
              <w:rPr>
                <w:rFonts w:ascii="Arial" w:hAnsi="Arial"/>
                <w:sz w:val="20"/>
                <w:szCs w:val="20"/>
              </w:rPr>
              <w:t xml:space="preserve">Monitoreo </w:t>
            </w:r>
            <w:r w:rsidR="00246044" w:rsidRPr="00E35A37">
              <w:rPr>
                <w:rFonts w:ascii="Arial" w:hAnsi="Arial"/>
                <w:sz w:val="20"/>
                <w:szCs w:val="20"/>
              </w:rPr>
              <w:t>del Plan Nacional de Infraestructura Educativa</w:t>
            </w:r>
            <w:r w:rsidR="00246044">
              <w:rPr>
                <w:rFonts w:ascii="Arial" w:hAnsi="Arial"/>
                <w:sz w:val="20"/>
                <w:szCs w:val="20"/>
              </w:rPr>
              <w:t xml:space="preserve">, pero no incluidas en la Base de Datos de Monitoreo del Estado de las unidades productoras en el marco del Invierte.pe </w:t>
            </w:r>
            <w:r w:rsidR="00246044" w:rsidRPr="00E35A37">
              <w:rPr>
                <w:rFonts w:ascii="Arial" w:hAnsi="Arial"/>
                <w:sz w:val="20"/>
                <w:szCs w:val="20"/>
              </w:rPr>
              <w:t>en el tiempo t.</w:t>
            </w:r>
          </w:p>
          <w:p w14:paraId="48F97097" w14:textId="77777777" w:rsidR="00246044" w:rsidRPr="00E35A37" w:rsidRDefault="00246044" w:rsidP="00246044">
            <w:pPr>
              <w:spacing w:before="120" w:after="120"/>
              <w:ind w:left="708"/>
              <w:contextualSpacing/>
              <w:jc w:val="both"/>
              <w:rPr>
                <w:rFonts w:ascii="Arial" w:hAnsi="Arial"/>
                <w:sz w:val="20"/>
                <w:szCs w:val="20"/>
              </w:rPr>
            </w:pPr>
          </w:p>
          <w:p w14:paraId="24613FE7" w14:textId="77777777" w:rsidR="00246044" w:rsidRDefault="00000000" w:rsidP="002460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CUPII</m:t>
                  </m:r>
                </m:e>
                <m:sub>
                  <m:r>
                    <w:rPr>
                      <w:rFonts w:ascii="Cambria Math" w:hAnsi="Cambria Math"/>
                      <w:sz w:val="20"/>
                      <w:szCs w:val="20"/>
                    </w:rPr>
                    <m:t>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246044" w:rsidRPr="00E35A37">
              <w:rPr>
                <w:rFonts w:ascii="Arial" w:hAnsi="Arial"/>
                <w:sz w:val="20"/>
                <w:szCs w:val="20"/>
              </w:rPr>
              <w:t xml:space="preserve"> Cantidad de </w:t>
            </w:r>
            <w:r w:rsidR="00246044">
              <w:rPr>
                <w:rFonts w:ascii="Arial" w:hAnsi="Arial"/>
                <w:sz w:val="20"/>
                <w:szCs w:val="20"/>
              </w:rPr>
              <w:t xml:space="preserve">unidades productoras </w:t>
            </w:r>
            <w:r w:rsidR="00246044" w:rsidRPr="00E35A37">
              <w:rPr>
                <w:rFonts w:ascii="Arial" w:hAnsi="Arial"/>
                <w:sz w:val="20"/>
                <w:szCs w:val="20"/>
              </w:rPr>
              <w:t xml:space="preserve">con </w:t>
            </w:r>
            <w:r w:rsidR="00246044">
              <w:rPr>
                <w:rFonts w:ascii="Arial" w:hAnsi="Arial"/>
                <w:sz w:val="20"/>
                <w:szCs w:val="20"/>
              </w:rPr>
              <w:t xml:space="preserve">el </w:t>
            </w:r>
            <w:r w:rsidR="00246044" w:rsidRPr="00E35A37">
              <w:rPr>
                <w:rFonts w:ascii="Arial" w:hAnsi="Arial"/>
                <w:sz w:val="20"/>
                <w:szCs w:val="20"/>
              </w:rPr>
              <w:t xml:space="preserve">servicio de Educación </w:t>
            </w:r>
            <w:r w:rsidR="00246044" w:rsidRPr="00E35A37">
              <w:rPr>
                <w:rFonts w:ascii="Arial" w:hAnsi="Arial"/>
                <w:bCs/>
                <w:sz w:val="20"/>
                <w:szCs w:val="20"/>
                <w:lang w:val="es-MX"/>
              </w:rPr>
              <w:t xml:space="preserve">Inicial </w:t>
            </w:r>
            <w:r w:rsidR="00246044">
              <w:rPr>
                <w:rFonts w:ascii="Arial" w:hAnsi="Arial"/>
                <w:bCs/>
                <w:sz w:val="20"/>
                <w:szCs w:val="20"/>
                <w:lang w:val="es-MX"/>
              </w:rPr>
              <w:t>con</w:t>
            </w:r>
            <w:r w:rsidR="00246044" w:rsidRPr="00E35A37">
              <w:rPr>
                <w:rFonts w:ascii="Arial" w:hAnsi="Arial"/>
                <w:bCs/>
                <w:sz w:val="20"/>
                <w:szCs w:val="20"/>
                <w:lang w:val="es-MX"/>
              </w:rPr>
              <w:t xml:space="preserve"> capacidad instalada inadecuada</w:t>
            </w:r>
            <w:r w:rsidR="00246044">
              <w:rPr>
                <w:rFonts w:ascii="Arial" w:hAnsi="Arial"/>
                <w:bCs/>
                <w:sz w:val="20"/>
                <w:szCs w:val="20"/>
                <w:lang w:val="es-MX"/>
              </w:rPr>
              <w:t xml:space="preserve"> identificadas en la Base de Datos del Censo Educativo, pero no incluidas en la Base de Datos de Monitoreo del </w:t>
            </w:r>
            <w:r w:rsidR="00246044" w:rsidRPr="00E35A37">
              <w:rPr>
                <w:rFonts w:ascii="Arial" w:hAnsi="Arial"/>
                <w:sz w:val="20"/>
                <w:szCs w:val="20"/>
              </w:rPr>
              <w:t>Plan Nacional de Infraestructura Educativa</w:t>
            </w:r>
            <w:r w:rsidR="00246044">
              <w:rPr>
                <w:rFonts w:ascii="Arial" w:hAnsi="Arial"/>
                <w:sz w:val="20"/>
                <w:szCs w:val="20"/>
              </w:rPr>
              <w:t xml:space="preserve"> ni en la Base de Datos de Monitoreo del Estado de las Unidades Productoras</w:t>
            </w:r>
            <w:r w:rsidR="00246044" w:rsidRPr="00E35A37">
              <w:rPr>
                <w:rFonts w:ascii="Arial" w:hAnsi="Arial"/>
                <w:sz w:val="20"/>
                <w:szCs w:val="20"/>
              </w:rPr>
              <w:t xml:space="preserve"> </w:t>
            </w:r>
            <w:r w:rsidR="00246044">
              <w:rPr>
                <w:rFonts w:ascii="Arial" w:hAnsi="Arial"/>
                <w:sz w:val="20"/>
                <w:szCs w:val="20"/>
              </w:rPr>
              <w:t xml:space="preserve">en el Marco del Invierte.pe, </w:t>
            </w:r>
            <w:r w:rsidR="00246044" w:rsidRPr="00E35A37">
              <w:rPr>
                <w:rFonts w:ascii="Arial" w:hAnsi="Arial"/>
                <w:sz w:val="20"/>
                <w:szCs w:val="20"/>
              </w:rPr>
              <w:t>en el tiempo t</w:t>
            </w:r>
            <w:r w:rsidR="00246044">
              <w:rPr>
                <w:rFonts w:ascii="Arial" w:hAnsi="Arial"/>
                <w:sz w:val="20"/>
                <w:szCs w:val="20"/>
              </w:rPr>
              <w:t>.</w:t>
            </w:r>
          </w:p>
          <w:p w14:paraId="41DD3BBD" w14:textId="77777777" w:rsidR="00246044" w:rsidRDefault="00246044" w:rsidP="00246044">
            <w:pPr>
              <w:spacing w:before="120" w:after="120"/>
              <w:ind w:left="708"/>
              <w:contextualSpacing/>
              <w:jc w:val="both"/>
              <w:rPr>
                <w:rFonts w:ascii="Arial" w:hAnsi="Arial"/>
                <w:sz w:val="20"/>
                <w:szCs w:val="20"/>
              </w:rPr>
            </w:pPr>
          </w:p>
          <w:p w14:paraId="5F498BB0" w14:textId="77777777" w:rsidR="00246044" w:rsidRDefault="00000000" w:rsidP="002460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CTUPII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246044">
              <w:rPr>
                <w:rFonts w:ascii="Arial" w:hAnsi="Arial"/>
                <w:sz w:val="20"/>
                <w:szCs w:val="20"/>
              </w:rPr>
              <w:t xml:space="preserve"> Cantidad de unidades productoras</w:t>
            </w:r>
            <w:r w:rsidR="00246044" w:rsidRPr="00E35A37">
              <w:rPr>
                <w:rFonts w:ascii="Arial" w:hAnsi="Arial"/>
                <w:sz w:val="20"/>
                <w:szCs w:val="20"/>
              </w:rPr>
              <w:t xml:space="preserve"> con </w:t>
            </w:r>
            <w:r w:rsidR="00246044">
              <w:rPr>
                <w:rFonts w:ascii="Arial" w:hAnsi="Arial"/>
                <w:sz w:val="20"/>
                <w:szCs w:val="20"/>
              </w:rPr>
              <w:t xml:space="preserve">el </w:t>
            </w:r>
            <w:r w:rsidR="00246044" w:rsidRPr="00E35A37">
              <w:rPr>
                <w:rFonts w:ascii="Arial" w:hAnsi="Arial"/>
                <w:sz w:val="20"/>
                <w:szCs w:val="20"/>
              </w:rPr>
              <w:t xml:space="preserve">servicio de Educación </w:t>
            </w:r>
            <w:r w:rsidR="00246044">
              <w:rPr>
                <w:rFonts w:ascii="Arial" w:hAnsi="Arial"/>
                <w:bCs/>
                <w:sz w:val="20"/>
                <w:szCs w:val="20"/>
                <w:lang w:val="es-MX"/>
              </w:rPr>
              <w:t>Inicial con</w:t>
            </w:r>
            <w:r w:rsidR="00246044" w:rsidRPr="00E35A37">
              <w:rPr>
                <w:rFonts w:ascii="Arial" w:hAnsi="Arial"/>
                <w:bCs/>
                <w:sz w:val="20"/>
                <w:szCs w:val="20"/>
                <w:lang w:val="es-MX"/>
              </w:rPr>
              <w:t xml:space="preserve"> capacidad instalada inadecuada</w:t>
            </w:r>
            <w:r w:rsidR="00246044">
              <w:rPr>
                <w:rFonts w:ascii="Arial" w:hAnsi="Arial"/>
                <w:sz w:val="20"/>
                <w:szCs w:val="20"/>
              </w:rPr>
              <w:t xml:space="preserve"> identificadas en la B</w:t>
            </w:r>
            <w:r w:rsidR="00246044" w:rsidRPr="00E35A37">
              <w:rPr>
                <w:rFonts w:ascii="Arial" w:hAnsi="Arial"/>
                <w:sz w:val="20"/>
                <w:szCs w:val="20"/>
              </w:rPr>
              <w:t xml:space="preserve">ase de </w:t>
            </w:r>
            <w:r w:rsidR="00246044">
              <w:rPr>
                <w:rFonts w:ascii="Arial" w:hAnsi="Arial"/>
                <w:sz w:val="20"/>
                <w:szCs w:val="20"/>
              </w:rPr>
              <w:t>Datos de M</w:t>
            </w:r>
            <w:r w:rsidR="00246044" w:rsidRPr="00E35A37">
              <w:rPr>
                <w:rFonts w:ascii="Arial" w:hAnsi="Arial"/>
                <w:sz w:val="20"/>
                <w:szCs w:val="20"/>
              </w:rPr>
              <w:t>onitoreo del</w:t>
            </w:r>
            <w:r w:rsidR="00246044">
              <w:rPr>
                <w:rFonts w:ascii="Arial" w:hAnsi="Arial"/>
                <w:sz w:val="20"/>
                <w:szCs w:val="20"/>
              </w:rPr>
              <w:t xml:space="preserve"> Estado de las Unidades Productoras</w:t>
            </w:r>
            <w:r w:rsidR="00246044" w:rsidRPr="00E35A37">
              <w:rPr>
                <w:rFonts w:ascii="Arial" w:hAnsi="Arial"/>
                <w:sz w:val="20"/>
                <w:szCs w:val="20"/>
              </w:rPr>
              <w:t xml:space="preserve"> </w:t>
            </w:r>
            <w:r w:rsidR="00246044">
              <w:rPr>
                <w:rFonts w:ascii="Arial" w:hAnsi="Arial"/>
                <w:sz w:val="20"/>
                <w:szCs w:val="20"/>
              </w:rPr>
              <w:t>en el Marco del Invierte.pe, del Plan Nacional de Infraestructura Educativa, y del Censo Educativo, e</w:t>
            </w:r>
            <w:r w:rsidR="00246044" w:rsidRPr="00E35A37">
              <w:rPr>
                <w:rFonts w:ascii="Arial" w:hAnsi="Arial"/>
                <w:sz w:val="20"/>
                <w:szCs w:val="20"/>
              </w:rPr>
              <w:t>n el tiempo t.</w:t>
            </w:r>
          </w:p>
          <w:p w14:paraId="2380CA76" w14:textId="77777777" w:rsidR="00246044" w:rsidRDefault="00246044" w:rsidP="00246044">
            <w:pPr>
              <w:spacing w:before="120" w:after="120"/>
              <w:ind w:left="708"/>
              <w:contextualSpacing/>
              <w:jc w:val="both"/>
              <w:rPr>
                <w:rFonts w:ascii="Arial" w:hAnsi="Arial"/>
                <w:sz w:val="20"/>
                <w:szCs w:val="20"/>
              </w:rPr>
            </w:pPr>
          </w:p>
          <w:p w14:paraId="1EE3DD72" w14:textId="77777777" w:rsidR="00246044" w:rsidRDefault="00000000" w:rsidP="002460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CTUPI</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246044" w:rsidRPr="00E35A37">
              <w:rPr>
                <w:rFonts w:ascii="Arial" w:hAnsi="Arial"/>
                <w:sz w:val="20"/>
                <w:szCs w:val="20"/>
              </w:rPr>
              <w:t xml:space="preserve"> Cant</w:t>
            </w:r>
            <w:r w:rsidR="00246044">
              <w:rPr>
                <w:rFonts w:ascii="Arial" w:hAnsi="Arial"/>
                <w:sz w:val="20"/>
                <w:szCs w:val="20"/>
              </w:rPr>
              <w:t>idad total de unidades productoras</w:t>
            </w:r>
            <w:r w:rsidR="00246044" w:rsidRPr="00E35A37">
              <w:rPr>
                <w:rFonts w:ascii="Arial" w:hAnsi="Arial"/>
                <w:sz w:val="20"/>
                <w:szCs w:val="20"/>
              </w:rPr>
              <w:t xml:space="preserve"> con </w:t>
            </w:r>
            <w:r w:rsidR="00246044">
              <w:rPr>
                <w:rFonts w:ascii="Arial" w:hAnsi="Arial"/>
                <w:sz w:val="20"/>
                <w:szCs w:val="20"/>
              </w:rPr>
              <w:t xml:space="preserve">el </w:t>
            </w:r>
            <w:r w:rsidR="00246044" w:rsidRPr="00E35A37">
              <w:rPr>
                <w:rFonts w:ascii="Arial" w:hAnsi="Arial"/>
                <w:sz w:val="20"/>
                <w:szCs w:val="20"/>
              </w:rPr>
              <w:t xml:space="preserve">servicio de Educación </w:t>
            </w:r>
            <w:r w:rsidR="00246044">
              <w:rPr>
                <w:rFonts w:ascii="Arial" w:hAnsi="Arial"/>
                <w:bCs/>
                <w:sz w:val="20"/>
                <w:szCs w:val="20"/>
                <w:lang w:val="es-MX"/>
              </w:rPr>
              <w:t>Inicial</w:t>
            </w:r>
            <w:r w:rsidR="00246044">
              <w:rPr>
                <w:rFonts w:ascii="Arial" w:hAnsi="Arial"/>
                <w:sz w:val="20"/>
                <w:szCs w:val="20"/>
              </w:rPr>
              <w:t xml:space="preserve"> identificadas en la Base de Datos de Monitoreo del Estado de las Unidades Productoras en el Marco del Invierte.pe, del Plan Nacional de Infraestructura Educativa, y del Censo Educativo</w:t>
            </w:r>
            <w:r w:rsidR="00246044" w:rsidRPr="00E35A37">
              <w:rPr>
                <w:rFonts w:ascii="Arial" w:hAnsi="Arial"/>
                <w:sz w:val="20"/>
                <w:szCs w:val="20"/>
              </w:rPr>
              <w:t xml:space="preserve"> en el tiempo t.</w:t>
            </w:r>
          </w:p>
          <w:p w14:paraId="457C8E76" w14:textId="77777777" w:rsidR="00F02D6A" w:rsidRDefault="00F02D6A" w:rsidP="00246044">
            <w:pPr>
              <w:spacing w:before="120" w:after="120"/>
              <w:ind w:left="708"/>
              <w:contextualSpacing/>
              <w:jc w:val="both"/>
              <w:rPr>
                <w:rFonts w:ascii="Arial" w:hAnsi="Arial"/>
                <w:sz w:val="20"/>
                <w:szCs w:val="20"/>
              </w:rPr>
            </w:pPr>
          </w:p>
          <w:bookmarkStart w:id="3" w:name="_Hlk138146146"/>
          <w:p w14:paraId="069E3D7D" w14:textId="4DD0848E" w:rsidR="00125397" w:rsidRDefault="00000000" w:rsidP="0012539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CTUPIE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125397">
              <w:rPr>
                <w:rFonts w:ascii="Arial" w:hAnsi="Arial"/>
                <w:sz w:val="20"/>
                <w:szCs w:val="20"/>
              </w:rPr>
              <w:t xml:space="preserve"> Cantidad de unidades productoras</w:t>
            </w:r>
            <w:r w:rsidR="00125397" w:rsidRPr="00E35A37">
              <w:rPr>
                <w:rFonts w:ascii="Arial" w:hAnsi="Arial"/>
                <w:sz w:val="20"/>
                <w:szCs w:val="20"/>
              </w:rPr>
              <w:t xml:space="preserve"> con </w:t>
            </w:r>
            <w:r w:rsidR="00125397">
              <w:rPr>
                <w:rFonts w:ascii="Arial" w:hAnsi="Arial"/>
                <w:sz w:val="20"/>
                <w:szCs w:val="20"/>
              </w:rPr>
              <w:t xml:space="preserve">el </w:t>
            </w:r>
            <w:r w:rsidR="00125397" w:rsidRPr="00E35A37">
              <w:rPr>
                <w:rFonts w:ascii="Arial" w:hAnsi="Arial"/>
                <w:sz w:val="20"/>
                <w:szCs w:val="20"/>
              </w:rPr>
              <w:t xml:space="preserve">servicio de Educación </w:t>
            </w:r>
            <w:r w:rsidR="00125397">
              <w:rPr>
                <w:rFonts w:ascii="Arial" w:hAnsi="Arial"/>
                <w:bCs/>
                <w:sz w:val="20"/>
                <w:szCs w:val="20"/>
                <w:lang w:val="es-MX"/>
              </w:rPr>
              <w:t>Inicial con</w:t>
            </w:r>
            <w:r w:rsidR="00125397" w:rsidRPr="00E35A37">
              <w:rPr>
                <w:rFonts w:ascii="Arial" w:hAnsi="Arial"/>
                <w:bCs/>
                <w:sz w:val="20"/>
                <w:szCs w:val="20"/>
                <w:lang w:val="es-MX"/>
              </w:rPr>
              <w:t xml:space="preserve"> capacidad instalada </w:t>
            </w:r>
            <w:r w:rsidR="00562F81">
              <w:rPr>
                <w:rFonts w:ascii="Arial" w:hAnsi="Arial"/>
                <w:bCs/>
                <w:sz w:val="20"/>
                <w:szCs w:val="20"/>
                <w:lang w:val="es-MX"/>
              </w:rPr>
              <w:t>existente</w:t>
            </w:r>
            <w:r w:rsidR="00125397">
              <w:rPr>
                <w:rFonts w:ascii="Arial" w:hAnsi="Arial"/>
                <w:sz w:val="20"/>
                <w:szCs w:val="20"/>
              </w:rPr>
              <w:t xml:space="preserve"> identificadas en la B</w:t>
            </w:r>
            <w:r w:rsidR="00125397" w:rsidRPr="00E35A37">
              <w:rPr>
                <w:rFonts w:ascii="Arial" w:hAnsi="Arial"/>
                <w:sz w:val="20"/>
                <w:szCs w:val="20"/>
              </w:rPr>
              <w:t xml:space="preserve">ase de </w:t>
            </w:r>
            <w:r w:rsidR="00125397">
              <w:rPr>
                <w:rFonts w:ascii="Arial" w:hAnsi="Arial"/>
                <w:sz w:val="20"/>
                <w:szCs w:val="20"/>
              </w:rPr>
              <w:t>Datos de M</w:t>
            </w:r>
            <w:r w:rsidR="00125397" w:rsidRPr="00E35A37">
              <w:rPr>
                <w:rFonts w:ascii="Arial" w:hAnsi="Arial"/>
                <w:sz w:val="20"/>
                <w:szCs w:val="20"/>
              </w:rPr>
              <w:t>onitoreo del</w:t>
            </w:r>
            <w:r w:rsidR="00125397">
              <w:rPr>
                <w:rFonts w:ascii="Arial" w:hAnsi="Arial"/>
                <w:sz w:val="20"/>
                <w:szCs w:val="20"/>
              </w:rPr>
              <w:t xml:space="preserve"> Estado de las Unidades Productoras</w:t>
            </w:r>
            <w:r w:rsidR="00125397" w:rsidRPr="00E35A37">
              <w:rPr>
                <w:rFonts w:ascii="Arial" w:hAnsi="Arial"/>
                <w:sz w:val="20"/>
                <w:szCs w:val="20"/>
              </w:rPr>
              <w:t xml:space="preserve"> </w:t>
            </w:r>
            <w:r w:rsidR="00125397">
              <w:rPr>
                <w:rFonts w:ascii="Arial" w:hAnsi="Arial"/>
                <w:sz w:val="20"/>
                <w:szCs w:val="20"/>
              </w:rPr>
              <w:t>en el Marco del Invierte.pe, del Plan Nacional de Infraestructura Educativa, y del Censo Educativo, e</w:t>
            </w:r>
            <w:r w:rsidR="00125397" w:rsidRPr="00E35A37">
              <w:rPr>
                <w:rFonts w:ascii="Arial" w:hAnsi="Arial"/>
                <w:sz w:val="20"/>
                <w:szCs w:val="20"/>
              </w:rPr>
              <w:t>n el tiempo t.</w:t>
            </w:r>
          </w:p>
          <w:p w14:paraId="5FDF7A2D" w14:textId="77777777" w:rsidR="00562F81" w:rsidRDefault="00562F81" w:rsidP="00125397">
            <w:pPr>
              <w:spacing w:before="120" w:after="120"/>
              <w:ind w:left="708"/>
              <w:contextualSpacing/>
              <w:jc w:val="both"/>
              <w:rPr>
                <w:rFonts w:ascii="Arial" w:hAnsi="Arial"/>
                <w:sz w:val="20"/>
                <w:szCs w:val="20"/>
              </w:rPr>
            </w:pPr>
          </w:p>
          <w:p w14:paraId="3DD5040F" w14:textId="7C0120E7" w:rsidR="00254483" w:rsidRDefault="00000000" w:rsidP="0025448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CTUPIA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254483">
              <w:rPr>
                <w:rFonts w:ascii="Arial" w:hAnsi="Arial"/>
                <w:sz w:val="20"/>
                <w:szCs w:val="20"/>
              </w:rPr>
              <w:t xml:space="preserve"> Cantidad de unidades productoras</w:t>
            </w:r>
            <w:r w:rsidR="00254483" w:rsidRPr="00E35A37">
              <w:rPr>
                <w:rFonts w:ascii="Arial" w:hAnsi="Arial"/>
                <w:sz w:val="20"/>
                <w:szCs w:val="20"/>
              </w:rPr>
              <w:t xml:space="preserve"> con </w:t>
            </w:r>
            <w:r w:rsidR="00254483">
              <w:rPr>
                <w:rFonts w:ascii="Arial" w:hAnsi="Arial"/>
                <w:sz w:val="20"/>
                <w:szCs w:val="20"/>
              </w:rPr>
              <w:t xml:space="preserve">el </w:t>
            </w:r>
            <w:r w:rsidR="00254483" w:rsidRPr="00E35A37">
              <w:rPr>
                <w:rFonts w:ascii="Arial" w:hAnsi="Arial"/>
                <w:sz w:val="20"/>
                <w:szCs w:val="20"/>
              </w:rPr>
              <w:t xml:space="preserve">servicio de Educación </w:t>
            </w:r>
            <w:r w:rsidR="00254483">
              <w:rPr>
                <w:rFonts w:ascii="Arial" w:hAnsi="Arial"/>
                <w:bCs/>
                <w:sz w:val="20"/>
                <w:szCs w:val="20"/>
                <w:lang w:val="es-MX"/>
              </w:rPr>
              <w:t>Inicial con</w:t>
            </w:r>
            <w:r w:rsidR="00254483" w:rsidRPr="00E35A37">
              <w:rPr>
                <w:rFonts w:ascii="Arial" w:hAnsi="Arial"/>
                <w:bCs/>
                <w:sz w:val="20"/>
                <w:szCs w:val="20"/>
                <w:lang w:val="es-MX"/>
              </w:rPr>
              <w:t xml:space="preserve"> capacidad instalada </w:t>
            </w:r>
            <w:r w:rsidR="00254483">
              <w:rPr>
                <w:rFonts w:ascii="Arial" w:hAnsi="Arial"/>
                <w:bCs/>
                <w:sz w:val="20"/>
                <w:szCs w:val="20"/>
                <w:lang w:val="es-MX"/>
              </w:rPr>
              <w:t>adecuada</w:t>
            </w:r>
            <w:r w:rsidR="00254483">
              <w:rPr>
                <w:rFonts w:ascii="Arial" w:hAnsi="Arial"/>
                <w:sz w:val="20"/>
                <w:szCs w:val="20"/>
              </w:rPr>
              <w:t xml:space="preserve"> identificadas en la B</w:t>
            </w:r>
            <w:r w:rsidR="00254483" w:rsidRPr="00E35A37">
              <w:rPr>
                <w:rFonts w:ascii="Arial" w:hAnsi="Arial"/>
                <w:sz w:val="20"/>
                <w:szCs w:val="20"/>
              </w:rPr>
              <w:t xml:space="preserve">ase de </w:t>
            </w:r>
            <w:r w:rsidR="00254483">
              <w:rPr>
                <w:rFonts w:ascii="Arial" w:hAnsi="Arial"/>
                <w:sz w:val="20"/>
                <w:szCs w:val="20"/>
              </w:rPr>
              <w:t>Datos de M</w:t>
            </w:r>
            <w:r w:rsidR="00254483" w:rsidRPr="00E35A37">
              <w:rPr>
                <w:rFonts w:ascii="Arial" w:hAnsi="Arial"/>
                <w:sz w:val="20"/>
                <w:szCs w:val="20"/>
              </w:rPr>
              <w:t>onitoreo del</w:t>
            </w:r>
            <w:r w:rsidR="00254483">
              <w:rPr>
                <w:rFonts w:ascii="Arial" w:hAnsi="Arial"/>
                <w:sz w:val="20"/>
                <w:szCs w:val="20"/>
              </w:rPr>
              <w:t xml:space="preserve"> Estado de las Unidades Productoras</w:t>
            </w:r>
            <w:r w:rsidR="00254483" w:rsidRPr="00E35A37">
              <w:rPr>
                <w:rFonts w:ascii="Arial" w:hAnsi="Arial"/>
                <w:sz w:val="20"/>
                <w:szCs w:val="20"/>
              </w:rPr>
              <w:t xml:space="preserve"> </w:t>
            </w:r>
            <w:r w:rsidR="00254483">
              <w:rPr>
                <w:rFonts w:ascii="Arial" w:hAnsi="Arial"/>
                <w:sz w:val="20"/>
                <w:szCs w:val="20"/>
              </w:rPr>
              <w:t>en el Marco del Invierte.pe, del Plan Nacional de Infraestructura Educativa, y del Censo Educativo, e</w:t>
            </w:r>
            <w:r w:rsidR="00254483" w:rsidRPr="00E35A37">
              <w:rPr>
                <w:rFonts w:ascii="Arial" w:hAnsi="Arial"/>
                <w:sz w:val="20"/>
                <w:szCs w:val="20"/>
              </w:rPr>
              <w:t>n el tiempo t.</w:t>
            </w:r>
          </w:p>
          <w:p w14:paraId="3D91FFB4" w14:textId="77777777" w:rsidR="00254483" w:rsidRDefault="00254483" w:rsidP="00254483">
            <w:pPr>
              <w:spacing w:before="120" w:after="120"/>
              <w:ind w:left="708"/>
              <w:contextualSpacing/>
              <w:jc w:val="both"/>
              <w:rPr>
                <w:rFonts w:ascii="Arial" w:hAnsi="Arial"/>
                <w:sz w:val="20"/>
                <w:szCs w:val="20"/>
              </w:rPr>
            </w:pPr>
          </w:p>
          <w:p w14:paraId="6F933AC6" w14:textId="77777777" w:rsidR="00254483" w:rsidRDefault="00254483" w:rsidP="00254483">
            <w:pPr>
              <w:spacing w:before="120" w:after="120"/>
              <w:ind w:left="708"/>
              <w:contextualSpacing/>
              <w:jc w:val="both"/>
              <w:rPr>
                <w:rFonts w:ascii="Arial" w:hAnsi="Arial"/>
                <w:sz w:val="20"/>
                <w:szCs w:val="20"/>
              </w:rPr>
            </w:pPr>
          </w:p>
          <w:p w14:paraId="551DA6F1" w14:textId="537A2C34" w:rsidR="00254483" w:rsidRDefault="00000000" w:rsidP="0025448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CTUPIN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254483">
              <w:rPr>
                <w:rFonts w:ascii="Arial" w:hAnsi="Arial"/>
                <w:sz w:val="20"/>
                <w:szCs w:val="20"/>
              </w:rPr>
              <w:t xml:space="preserve"> Cantidad de unidades productoras</w:t>
            </w:r>
            <w:r w:rsidR="00254483" w:rsidRPr="00E35A37">
              <w:rPr>
                <w:rFonts w:ascii="Arial" w:hAnsi="Arial"/>
                <w:sz w:val="20"/>
                <w:szCs w:val="20"/>
              </w:rPr>
              <w:t xml:space="preserve"> con </w:t>
            </w:r>
            <w:r w:rsidR="00254483">
              <w:rPr>
                <w:rFonts w:ascii="Arial" w:hAnsi="Arial"/>
                <w:sz w:val="20"/>
                <w:szCs w:val="20"/>
              </w:rPr>
              <w:t xml:space="preserve">el </w:t>
            </w:r>
            <w:r w:rsidR="00254483" w:rsidRPr="00E35A37">
              <w:rPr>
                <w:rFonts w:ascii="Arial" w:hAnsi="Arial"/>
                <w:sz w:val="20"/>
                <w:szCs w:val="20"/>
              </w:rPr>
              <w:t xml:space="preserve">servicio de Educación </w:t>
            </w:r>
            <w:r w:rsidR="00254483">
              <w:rPr>
                <w:rFonts w:ascii="Arial" w:hAnsi="Arial"/>
                <w:bCs/>
                <w:sz w:val="20"/>
                <w:szCs w:val="20"/>
                <w:lang w:val="es-MX"/>
              </w:rPr>
              <w:t>Inicial con</w:t>
            </w:r>
            <w:r w:rsidR="00254483" w:rsidRPr="00E35A37">
              <w:rPr>
                <w:rFonts w:ascii="Arial" w:hAnsi="Arial"/>
                <w:bCs/>
                <w:sz w:val="20"/>
                <w:szCs w:val="20"/>
                <w:lang w:val="es-MX"/>
              </w:rPr>
              <w:t xml:space="preserve"> capacidad instalada </w:t>
            </w:r>
            <w:r w:rsidR="00FC4082">
              <w:rPr>
                <w:rFonts w:ascii="Arial" w:hAnsi="Arial"/>
                <w:bCs/>
                <w:sz w:val="20"/>
                <w:szCs w:val="20"/>
                <w:lang w:val="es-MX"/>
              </w:rPr>
              <w:t>no</w:t>
            </w:r>
            <w:r w:rsidR="00254483">
              <w:rPr>
                <w:rFonts w:ascii="Arial" w:hAnsi="Arial"/>
                <w:sz w:val="20"/>
                <w:szCs w:val="20"/>
              </w:rPr>
              <w:t xml:space="preserve"> identificada en la B</w:t>
            </w:r>
            <w:r w:rsidR="00254483" w:rsidRPr="00E35A37">
              <w:rPr>
                <w:rFonts w:ascii="Arial" w:hAnsi="Arial"/>
                <w:sz w:val="20"/>
                <w:szCs w:val="20"/>
              </w:rPr>
              <w:t xml:space="preserve">ase de </w:t>
            </w:r>
            <w:r w:rsidR="00254483">
              <w:rPr>
                <w:rFonts w:ascii="Arial" w:hAnsi="Arial"/>
                <w:sz w:val="20"/>
                <w:szCs w:val="20"/>
              </w:rPr>
              <w:t>Datos de M</w:t>
            </w:r>
            <w:r w:rsidR="00254483" w:rsidRPr="00E35A37">
              <w:rPr>
                <w:rFonts w:ascii="Arial" w:hAnsi="Arial"/>
                <w:sz w:val="20"/>
                <w:szCs w:val="20"/>
              </w:rPr>
              <w:t>onitoreo del</w:t>
            </w:r>
            <w:r w:rsidR="00254483">
              <w:rPr>
                <w:rFonts w:ascii="Arial" w:hAnsi="Arial"/>
                <w:sz w:val="20"/>
                <w:szCs w:val="20"/>
              </w:rPr>
              <w:t xml:space="preserve"> Estado de las Unidades Productoras</w:t>
            </w:r>
            <w:r w:rsidR="00254483" w:rsidRPr="00E35A37">
              <w:rPr>
                <w:rFonts w:ascii="Arial" w:hAnsi="Arial"/>
                <w:sz w:val="20"/>
                <w:szCs w:val="20"/>
              </w:rPr>
              <w:t xml:space="preserve"> </w:t>
            </w:r>
            <w:r w:rsidR="00254483">
              <w:rPr>
                <w:rFonts w:ascii="Arial" w:hAnsi="Arial"/>
                <w:sz w:val="20"/>
                <w:szCs w:val="20"/>
              </w:rPr>
              <w:t>en el Marco del Invierte.pe, del Plan Nacional de Infraestructura Educativa, y del Censo Educativo, e</w:t>
            </w:r>
            <w:r w:rsidR="00254483" w:rsidRPr="00E35A37">
              <w:rPr>
                <w:rFonts w:ascii="Arial" w:hAnsi="Arial"/>
                <w:sz w:val="20"/>
                <w:szCs w:val="20"/>
              </w:rPr>
              <w:t>n el tiempo t.</w:t>
            </w:r>
          </w:p>
          <w:p w14:paraId="03D3F20F" w14:textId="77777777" w:rsidR="00254483" w:rsidRDefault="00254483" w:rsidP="00254483">
            <w:pPr>
              <w:spacing w:before="120" w:after="120"/>
              <w:ind w:left="708"/>
              <w:contextualSpacing/>
              <w:jc w:val="both"/>
              <w:rPr>
                <w:rFonts w:ascii="Arial" w:hAnsi="Arial"/>
                <w:sz w:val="20"/>
                <w:szCs w:val="20"/>
              </w:rPr>
            </w:pPr>
          </w:p>
          <w:p w14:paraId="5540C773" w14:textId="77777777" w:rsidR="00F02D6A" w:rsidRPr="00E35A37" w:rsidRDefault="00F02D6A" w:rsidP="00246044">
            <w:pPr>
              <w:spacing w:before="120" w:after="120"/>
              <w:ind w:left="708"/>
              <w:contextualSpacing/>
              <w:jc w:val="both"/>
              <w:rPr>
                <w:rFonts w:ascii="Arial" w:hAnsi="Arial"/>
                <w:sz w:val="20"/>
                <w:szCs w:val="20"/>
              </w:rPr>
            </w:pPr>
          </w:p>
          <w:bookmarkEnd w:id="3"/>
          <w:p w14:paraId="26B32A51" w14:textId="77777777" w:rsidR="00246044" w:rsidRPr="00E35A37" w:rsidRDefault="00246044" w:rsidP="00246044">
            <w:pPr>
              <w:spacing w:before="120" w:after="120"/>
              <w:ind w:left="708"/>
              <w:contextualSpacing/>
              <w:jc w:val="both"/>
              <w:rPr>
                <w:rFonts w:ascii="Arial" w:hAnsi="Arial"/>
                <w:sz w:val="20"/>
                <w:szCs w:val="20"/>
              </w:rPr>
            </w:pPr>
          </w:p>
          <w:p w14:paraId="6D0435A1" w14:textId="191B4BE6" w:rsidR="00562F81" w:rsidRDefault="00562F81" w:rsidP="00954049">
            <w:pPr>
              <w:spacing w:before="120" w:after="120"/>
              <w:contextualSpacing/>
              <w:jc w:val="both"/>
              <w:rPr>
                <w:rFonts w:ascii="Arial" w:hAnsi="Arial"/>
                <w:sz w:val="20"/>
                <w:szCs w:val="20"/>
              </w:rPr>
            </w:pPr>
          </w:p>
          <w:p w14:paraId="036F4EFC" w14:textId="77777777" w:rsidR="00F02D6A" w:rsidRDefault="00F02D6A" w:rsidP="00246044">
            <w:pPr>
              <w:spacing w:before="120" w:after="120"/>
              <w:ind w:left="708"/>
              <w:contextualSpacing/>
              <w:jc w:val="both"/>
              <w:rPr>
                <w:rFonts w:ascii="Arial" w:hAnsi="Arial"/>
                <w:sz w:val="20"/>
                <w:szCs w:val="20"/>
              </w:rPr>
            </w:pPr>
          </w:p>
          <w:p w14:paraId="3B36C1BA" w14:textId="77777777" w:rsidR="00246044" w:rsidRPr="00AB3CA7" w:rsidRDefault="00246044" w:rsidP="00954049">
            <w:pPr>
              <w:spacing w:before="120" w:after="120"/>
              <w:ind w:left="708"/>
              <w:contextualSpacing/>
              <w:jc w:val="both"/>
              <w:rPr>
                <w:rFonts w:ascii="Arial" w:hAnsi="Arial" w:cs="Arial"/>
                <w:b/>
                <w:bCs/>
                <w:szCs w:val="20"/>
              </w:rPr>
            </w:pPr>
          </w:p>
        </w:tc>
      </w:tr>
      <w:tr w:rsidR="002C6B38" w:rsidRPr="00DF1A12"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746EB6" w:rsidRDefault="002C6B38" w:rsidP="002C6B38">
            <w:pPr>
              <w:rPr>
                <w:rFonts w:ascii="Arial" w:hAnsi="Arial" w:cs="Arial"/>
                <w:sz w:val="18"/>
                <w:szCs w:val="20"/>
              </w:rPr>
            </w:pPr>
            <w:r w:rsidRPr="00AB3CA7">
              <w:rPr>
                <w:rFonts w:ascii="Arial" w:hAnsi="Arial" w:cs="Arial"/>
                <w:b/>
                <w:bCs/>
                <w:szCs w:val="20"/>
              </w:rPr>
              <w:lastRenderedPageBreak/>
              <w:t>Precisiones</w:t>
            </w:r>
            <w:r w:rsidRPr="00DF1A12">
              <w:rPr>
                <w:rFonts w:ascii="Arial" w:hAnsi="Arial" w:cs="Arial"/>
                <w:b/>
                <w:bCs/>
                <w:sz w:val="20"/>
                <w:szCs w:val="20"/>
              </w:rPr>
              <w:t xml:space="preserve"> </w:t>
            </w:r>
            <w:r w:rsidRPr="00AB3CA7">
              <w:rPr>
                <w:rFonts w:ascii="Arial" w:hAnsi="Arial" w:cs="Arial"/>
                <w:b/>
                <w:bCs/>
                <w:szCs w:val="20"/>
              </w:rPr>
              <w:t>Técnicas</w:t>
            </w:r>
          </w:p>
        </w:tc>
      </w:tr>
      <w:tr w:rsidR="002C6B38" w:rsidRPr="00DF1A12"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63B8398" w14:textId="77777777" w:rsidR="00BA6497" w:rsidRDefault="00BA6497" w:rsidP="00954049">
            <w:pPr>
              <w:pStyle w:val="Prrafodelista"/>
              <w:jc w:val="both"/>
              <w:rPr>
                <w:rFonts w:ascii="Arial" w:hAnsi="Arial"/>
                <w:sz w:val="20"/>
                <w:szCs w:val="20"/>
              </w:rPr>
            </w:pPr>
          </w:p>
          <w:p w14:paraId="1214598F" w14:textId="6B23C4A3" w:rsidR="009437D5" w:rsidRDefault="009437D5" w:rsidP="009437D5">
            <w:pPr>
              <w:pStyle w:val="Prrafodelista"/>
              <w:numPr>
                <w:ilvl w:val="0"/>
                <w:numId w:val="2"/>
              </w:numPr>
              <w:jc w:val="both"/>
              <w:rPr>
                <w:rFonts w:ascii="Arial" w:hAnsi="Arial"/>
                <w:sz w:val="20"/>
                <w:szCs w:val="20"/>
              </w:rPr>
            </w:pPr>
            <w:r w:rsidRPr="00AA60BE">
              <w:rPr>
                <w:rFonts w:ascii="Arial" w:hAnsi="Arial"/>
                <w:sz w:val="20"/>
                <w:szCs w:val="20"/>
              </w:rPr>
              <w:t>El diagnóstico o tipo de intervención que puede recibir un local educativo</w:t>
            </w:r>
            <w:r>
              <w:rPr>
                <w:rFonts w:ascii="Arial" w:hAnsi="Arial"/>
                <w:sz w:val="20"/>
                <w:szCs w:val="20"/>
              </w:rPr>
              <w:t>, UP</w:t>
            </w:r>
            <w:r w:rsidRPr="00AA60BE">
              <w:rPr>
                <w:rFonts w:ascii="Arial" w:hAnsi="Arial"/>
                <w:sz w:val="20"/>
                <w:szCs w:val="20"/>
              </w:rPr>
              <w:t xml:space="preserve"> o ambiente</w:t>
            </w:r>
            <w:r>
              <w:rPr>
                <w:rFonts w:ascii="Arial" w:hAnsi="Arial"/>
                <w:sz w:val="20"/>
                <w:szCs w:val="20"/>
              </w:rPr>
              <w:t>,</w:t>
            </w:r>
            <w:r w:rsidRPr="00AA60BE">
              <w:rPr>
                <w:rFonts w:ascii="Arial" w:hAnsi="Arial"/>
                <w:sz w:val="20"/>
                <w:szCs w:val="20"/>
              </w:rPr>
              <w:t xml:space="preserve"> según las fuentes de información, </w:t>
            </w:r>
            <w:r>
              <w:rPr>
                <w:rFonts w:ascii="Arial" w:hAnsi="Arial"/>
                <w:sz w:val="20"/>
                <w:szCs w:val="20"/>
              </w:rPr>
              <w:t>se detalla a continuación</w:t>
            </w:r>
            <w:r w:rsidRPr="00AA60BE">
              <w:rPr>
                <w:rFonts w:ascii="Arial" w:hAnsi="Arial"/>
                <w:sz w:val="20"/>
                <w:szCs w:val="20"/>
              </w:rPr>
              <w:t>:</w:t>
            </w:r>
          </w:p>
          <w:p w14:paraId="31BC8AF5" w14:textId="77777777" w:rsidR="009437D5" w:rsidRDefault="009437D5" w:rsidP="009437D5">
            <w:pPr>
              <w:jc w:val="both"/>
              <w:rPr>
                <w:rFonts w:ascii="Arial" w:hAnsi="Arial"/>
                <w:sz w:val="20"/>
                <w:szCs w:val="20"/>
              </w:rPr>
            </w:pPr>
          </w:p>
          <w:p w14:paraId="292BA1D6" w14:textId="1D8BF157" w:rsidR="009437D5" w:rsidRDefault="009437D5" w:rsidP="009437D5">
            <w:pPr>
              <w:pStyle w:val="Prrafodelista"/>
              <w:numPr>
                <w:ilvl w:val="1"/>
                <w:numId w:val="2"/>
              </w:numPr>
              <w:jc w:val="both"/>
              <w:rPr>
                <w:rFonts w:ascii="Arial" w:hAnsi="Arial"/>
                <w:sz w:val="20"/>
                <w:szCs w:val="20"/>
              </w:rPr>
            </w:pPr>
            <w:r w:rsidRPr="00F637C9">
              <w:rPr>
                <w:rFonts w:ascii="Arial" w:hAnsi="Arial"/>
                <w:sz w:val="20"/>
                <w:szCs w:val="20"/>
              </w:rPr>
              <w:t xml:space="preserve">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6"/>
            </w:r>
            <w:r w:rsidR="00B27B6E">
              <w:rPr>
                <w:rFonts w:ascii="Arial" w:hAnsi="Arial"/>
                <w:sz w:val="20"/>
                <w:szCs w:val="20"/>
              </w:rPr>
              <w:t>.</w:t>
            </w:r>
            <w:r>
              <w:rPr>
                <w:rFonts w:ascii="Arial" w:hAnsi="Arial"/>
                <w:sz w:val="20"/>
                <w:szCs w:val="20"/>
              </w:rPr>
              <w:t xml:space="preserve"> </w:t>
            </w:r>
            <w:r w:rsidR="00B27B6E">
              <w:rPr>
                <w:rFonts w:ascii="Arial" w:hAnsi="Arial"/>
                <w:sz w:val="20"/>
                <w:szCs w:val="20"/>
              </w:rPr>
              <w:t>S</w:t>
            </w:r>
            <w:r>
              <w:rPr>
                <w:rFonts w:ascii="Arial" w:hAnsi="Arial"/>
                <w:sz w:val="20"/>
                <w:szCs w:val="20"/>
              </w:rPr>
              <w:t>i la inversión cumple de manera simultánea con todas las condiciones asociadas al criterio, la estimación del estado de la UP puede ser adecuado o inadecuado.</w:t>
            </w:r>
          </w:p>
          <w:p w14:paraId="09EC5780" w14:textId="77777777" w:rsidR="009437D5" w:rsidRDefault="009437D5" w:rsidP="009437D5">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9437D5" w:rsidRPr="00393CAF" w14:paraId="4649D336" w14:textId="77777777" w:rsidTr="00667867">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4AE58B49" w14:textId="77777777" w:rsidR="009437D5" w:rsidRPr="002C6CCC" w:rsidRDefault="009437D5" w:rsidP="009437D5">
                  <w:pPr>
                    <w:spacing w:after="0" w:line="240" w:lineRule="auto"/>
                    <w:jc w:val="center"/>
                    <w:rPr>
                      <w:rFonts w:ascii="Arial" w:eastAsia="Times New Roman" w:hAnsi="Arial"/>
                      <w:b/>
                      <w:bCs/>
                      <w:color w:val="000000"/>
                      <w:sz w:val="16"/>
                      <w:lang w:eastAsia="es-PE"/>
                    </w:rPr>
                  </w:pPr>
                  <w:r w:rsidRPr="002C6CCC">
                    <w:rPr>
                      <w:rFonts w:ascii="Arial" w:eastAsia="Times New Roman" w:hAnsi="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631D5BCA" w14:textId="77777777" w:rsidR="009437D5" w:rsidRPr="002C6CCC" w:rsidRDefault="009437D5" w:rsidP="009437D5">
                  <w:pPr>
                    <w:spacing w:after="0" w:line="240" w:lineRule="auto"/>
                    <w:jc w:val="center"/>
                    <w:rPr>
                      <w:rFonts w:ascii="Arial" w:eastAsia="Times New Roman" w:hAnsi="Arial"/>
                      <w:b/>
                      <w:bCs/>
                      <w:color w:val="000000"/>
                      <w:sz w:val="16"/>
                      <w:lang w:eastAsia="es-PE"/>
                    </w:rPr>
                  </w:pPr>
                  <w:r w:rsidRPr="002C6CCC">
                    <w:rPr>
                      <w:rFonts w:ascii="Arial" w:eastAsia="Times New Roman" w:hAnsi="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78574047" w14:textId="77777777" w:rsidR="009437D5" w:rsidRPr="002C6CCC" w:rsidRDefault="009437D5" w:rsidP="009437D5">
                  <w:pPr>
                    <w:spacing w:after="0" w:line="240" w:lineRule="auto"/>
                    <w:jc w:val="center"/>
                    <w:rPr>
                      <w:rFonts w:ascii="Arial" w:eastAsia="Times New Roman" w:hAnsi="Arial"/>
                      <w:b/>
                      <w:bCs/>
                      <w:color w:val="000000"/>
                      <w:sz w:val="16"/>
                      <w:lang w:eastAsia="es-PE"/>
                    </w:rPr>
                  </w:pPr>
                  <w:r w:rsidRPr="002C6CCC">
                    <w:rPr>
                      <w:rFonts w:ascii="Arial" w:eastAsia="Times New Roman" w:hAnsi="Arial"/>
                      <w:b/>
                      <w:bCs/>
                      <w:color w:val="000000"/>
                      <w:sz w:val="16"/>
                      <w:lang w:eastAsia="es-PE"/>
                    </w:rPr>
                    <w:t>Estado de la U</w:t>
                  </w:r>
                  <w:r>
                    <w:rPr>
                      <w:rFonts w:ascii="Arial" w:eastAsia="Times New Roman" w:hAnsi="Arial"/>
                      <w:b/>
                      <w:bCs/>
                      <w:color w:val="000000"/>
                      <w:sz w:val="16"/>
                      <w:lang w:eastAsia="es-PE"/>
                    </w:rPr>
                    <w:t>P asociada a la inversión analizada</w:t>
                  </w:r>
                </w:p>
              </w:tc>
            </w:tr>
            <w:tr w:rsidR="009437D5" w:rsidRPr="00393CAF" w14:paraId="5B52E86E" w14:textId="77777777" w:rsidTr="00667867">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19389C5B" w14:textId="77777777" w:rsidR="009437D5" w:rsidRPr="002C6CCC" w:rsidRDefault="009437D5" w:rsidP="009437D5">
                  <w:pPr>
                    <w:spacing w:after="0" w:line="240" w:lineRule="auto"/>
                    <w:jc w:val="both"/>
                    <w:rPr>
                      <w:rFonts w:ascii="Arial" w:eastAsia="Times New Roman" w:hAnsi="Arial"/>
                      <w:color w:val="000000"/>
                      <w:sz w:val="16"/>
                      <w:lang w:eastAsia="es-PE"/>
                    </w:rPr>
                  </w:pPr>
                  <w:r w:rsidRPr="002C6CCC">
                    <w:rPr>
                      <w:rFonts w:ascii="Arial" w:eastAsia="Times New Roman" w:hAnsi="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2BD30B74" w14:textId="77777777" w:rsidR="009437D5" w:rsidRPr="002C6CCC" w:rsidRDefault="009437D5" w:rsidP="009437D5">
                  <w:pPr>
                    <w:spacing w:after="0" w:line="240" w:lineRule="auto"/>
                    <w:jc w:val="both"/>
                    <w:rPr>
                      <w:rFonts w:ascii="Arial" w:eastAsia="Times New Roman" w:hAnsi="Arial"/>
                      <w:color w:val="000000"/>
                      <w:sz w:val="16"/>
                      <w:lang w:eastAsia="es-PE"/>
                    </w:rPr>
                  </w:pPr>
                  <w:r w:rsidRPr="002C6CCC">
                    <w:rPr>
                      <w:rFonts w:ascii="Arial" w:eastAsia="Times New Roman" w:hAnsi="Arial"/>
                      <w:b/>
                      <w:bCs/>
                      <w:color w:val="000000"/>
                      <w:sz w:val="16"/>
                      <w:lang w:eastAsia="es-PE"/>
                    </w:rPr>
                    <w:t>Condición N º 1</w:t>
                  </w:r>
                  <w:r w:rsidRPr="002C6CCC">
                    <w:rPr>
                      <w:rFonts w:ascii="Arial" w:eastAsia="Times New Roman" w:hAnsi="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5A6B240D" w14:textId="77777777" w:rsidR="009437D5" w:rsidRPr="002C6CCC" w:rsidRDefault="009437D5" w:rsidP="009437D5">
                  <w:pPr>
                    <w:spacing w:after="0" w:line="240" w:lineRule="auto"/>
                    <w:jc w:val="center"/>
                    <w:rPr>
                      <w:rFonts w:ascii="Arial" w:eastAsia="Times New Roman" w:hAnsi="Arial"/>
                      <w:color w:val="000000"/>
                      <w:sz w:val="16"/>
                      <w:lang w:eastAsia="es-PE"/>
                    </w:rPr>
                  </w:pPr>
                  <w:r w:rsidRPr="002C6CCC">
                    <w:rPr>
                      <w:rFonts w:ascii="Arial" w:eastAsia="Times New Roman" w:hAnsi="Arial"/>
                      <w:color w:val="000000"/>
                      <w:sz w:val="16"/>
                      <w:lang w:eastAsia="es-PE"/>
                    </w:rPr>
                    <w:t>Inadecuado</w:t>
                  </w:r>
                </w:p>
              </w:tc>
            </w:tr>
            <w:tr w:rsidR="009437D5" w:rsidRPr="00393CAF" w14:paraId="194FEA02" w14:textId="77777777" w:rsidTr="00667867">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6AB9868" w14:textId="77777777" w:rsidR="009437D5" w:rsidRPr="002C6CCC" w:rsidRDefault="009437D5" w:rsidP="009437D5">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50029C75" w14:textId="77777777" w:rsidR="009437D5" w:rsidRPr="002C6CCC" w:rsidRDefault="009437D5" w:rsidP="009437D5">
                  <w:pPr>
                    <w:spacing w:after="0" w:line="240" w:lineRule="auto"/>
                    <w:jc w:val="both"/>
                    <w:rPr>
                      <w:rFonts w:ascii="Arial" w:eastAsia="Times New Roman" w:hAnsi="Arial"/>
                      <w:color w:val="000000"/>
                      <w:sz w:val="16"/>
                      <w:lang w:eastAsia="es-PE"/>
                    </w:rPr>
                  </w:pPr>
                  <w:r w:rsidRPr="002C6CCC">
                    <w:rPr>
                      <w:rFonts w:ascii="Arial" w:eastAsia="Times New Roman" w:hAnsi="Arial"/>
                      <w:b/>
                      <w:bCs/>
                      <w:color w:val="000000"/>
                      <w:sz w:val="16"/>
                      <w:lang w:eastAsia="es-PE"/>
                    </w:rPr>
                    <w:t>Condición N º 2:</w:t>
                  </w:r>
                  <w:r w:rsidRPr="002C6CCC">
                    <w:rPr>
                      <w:rFonts w:ascii="Arial" w:eastAsia="Times New Roman" w:hAnsi="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0F3903B5" w14:textId="77777777" w:rsidR="009437D5" w:rsidRPr="002C6CCC" w:rsidRDefault="009437D5" w:rsidP="009437D5">
                  <w:pPr>
                    <w:spacing w:after="0" w:line="240" w:lineRule="auto"/>
                    <w:rPr>
                      <w:rFonts w:ascii="Arial" w:eastAsia="Times New Roman" w:hAnsi="Arial"/>
                      <w:color w:val="000000"/>
                      <w:sz w:val="16"/>
                      <w:lang w:eastAsia="es-PE"/>
                    </w:rPr>
                  </w:pPr>
                </w:p>
              </w:tc>
            </w:tr>
            <w:tr w:rsidR="009437D5" w:rsidRPr="00393CAF" w14:paraId="4ACDBFC2" w14:textId="77777777" w:rsidTr="00667867">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29D10B7F" w14:textId="77777777" w:rsidR="009437D5" w:rsidRPr="002C6CCC" w:rsidRDefault="009437D5" w:rsidP="009437D5">
                  <w:pPr>
                    <w:spacing w:after="0" w:line="240" w:lineRule="auto"/>
                    <w:jc w:val="both"/>
                    <w:rPr>
                      <w:rFonts w:ascii="Arial" w:eastAsia="Times New Roman" w:hAnsi="Arial"/>
                      <w:color w:val="000000"/>
                      <w:sz w:val="16"/>
                      <w:lang w:eastAsia="es-PE"/>
                    </w:rPr>
                  </w:pPr>
                  <w:r w:rsidRPr="002C6CCC">
                    <w:rPr>
                      <w:rFonts w:ascii="Arial" w:eastAsia="Times New Roman" w:hAnsi="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53B2C686" w14:textId="77777777" w:rsidR="009437D5" w:rsidRPr="002C6CCC" w:rsidRDefault="009437D5" w:rsidP="009437D5">
                  <w:pPr>
                    <w:spacing w:after="0" w:line="240" w:lineRule="auto"/>
                    <w:jc w:val="both"/>
                    <w:rPr>
                      <w:rFonts w:ascii="Arial" w:eastAsia="Times New Roman" w:hAnsi="Arial"/>
                      <w:color w:val="000000"/>
                      <w:sz w:val="16"/>
                      <w:lang w:eastAsia="es-PE"/>
                    </w:rPr>
                  </w:pPr>
                  <w:r w:rsidRPr="002C6CCC">
                    <w:rPr>
                      <w:rFonts w:ascii="Arial" w:eastAsia="Times New Roman" w:hAnsi="Arial"/>
                      <w:b/>
                      <w:bCs/>
                      <w:color w:val="000000"/>
                      <w:sz w:val="16"/>
                      <w:lang w:eastAsia="es-PE"/>
                    </w:rPr>
                    <w:t>Condición N º 1:</w:t>
                  </w:r>
                  <w:r w:rsidRPr="002C6CCC">
                    <w:rPr>
                      <w:rFonts w:ascii="Arial" w:eastAsia="Times New Roman" w:hAnsi="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C76F626" w14:textId="77777777" w:rsidR="009437D5" w:rsidRPr="002C6CCC" w:rsidRDefault="009437D5" w:rsidP="009437D5">
                  <w:pPr>
                    <w:spacing w:after="0" w:line="240" w:lineRule="auto"/>
                    <w:jc w:val="center"/>
                    <w:rPr>
                      <w:rFonts w:ascii="Arial" w:eastAsia="Times New Roman" w:hAnsi="Arial"/>
                      <w:color w:val="000000"/>
                      <w:sz w:val="16"/>
                      <w:lang w:eastAsia="es-PE"/>
                    </w:rPr>
                  </w:pPr>
                  <w:r w:rsidRPr="002C6CCC">
                    <w:rPr>
                      <w:rFonts w:ascii="Arial" w:eastAsia="Times New Roman" w:hAnsi="Arial"/>
                      <w:color w:val="000000"/>
                      <w:sz w:val="16"/>
                      <w:lang w:eastAsia="es-PE"/>
                    </w:rPr>
                    <w:t>Adecuado</w:t>
                  </w:r>
                </w:p>
              </w:tc>
            </w:tr>
            <w:tr w:rsidR="009437D5" w:rsidRPr="00393CAF" w14:paraId="115B2A24" w14:textId="77777777" w:rsidTr="00667867">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524258E8" w14:textId="77777777" w:rsidR="009437D5" w:rsidRPr="002C6CCC" w:rsidRDefault="009437D5" w:rsidP="009437D5">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5659978B" w14:textId="77777777" w:rsidR="009437D5" w:rsidRPr="002C6CCC" w:rsidRDefault="009437D5" w:rsidP="009437D5">
                  <w:pPr>
                    <w:spacing w:after="0" w:line="240" w:lineRule="auto"/>
                    <w:jc w:val="both"/>
                    <w:rPr>
                      <w:rFonts w:ascii="Arial" w:eastAsia="Times New Roman" w:hAnsi="Arial"/>
                      <w:color w:val="000000"/>
                      <w:sz w:val="16"/>
                      <w:lang w:eastAsia="es-PE"/>
                    </w:rPr>
                  </w:pPr>
                  <w:r w:rsidRPr="002C6CCC">
                    <w:rPr>
                      <w:rFonts w:ascii="Arial" w:eastAsia="Times New Roman" w:hAnsi="Arial"/>
                      <w:b/>
                      <w:bCs/>
                      <w:color w:val="000000"/>
                      <w:sz w:val="16"/>
                      <w:lang w:eastAsia="es-PE"/>
                    </w:rPr>
                    <w:t>Condición N º 2:</w:t>
                  </w:r>
                  <w:r w:rsidRPr="002C6CCC">
                    <w:rPr>
                      <w:rFonts w:ascii="Arial" w:eastAsia="Times New Roman" w:hAnsi="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4617927A" w14:textId="77777777" w:rsidR="009437D5" w:rsidRPr="002C6CCC" w:rsidRDefault="009437D5" w:rsidP="009437D5">
                  <w:pPr>
                    <w:spacing w:after="0" w:line="240" w:lineRule="auto"/>
                    <w:rPr>
                      <w:rFonts w:ascii="Arial" w:eastAsia="Times New Roman" w:hAnsi="Arial"/>
                      <w:color w:val="000000"/>
                      <w:sz w:val="16"/>
                      <w:lang w:eastAsia="es-PE"/>
                    </w:rPr>
                  </w:pPr>
                </w:p>
              </w:tc>
            </w:tr>
            <w:tr w:rsidR="009437D5" w:rsidRPr="00393CAF" w14:paraId="3936E3F3" w14:textId="77777777" w:rsidTr="00667867">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716C560E" w14:textId="77777777" w:rsidR="009437D5" w:rsidRPr="002C6CCC" w:rsidRDefault="009437D5" w:rsidP="009437D5">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42E5304" w14:textId="77777777" w:rsidR="009437D5" w:rsidRPr="002C6CCC" w:rsidRDefault="009437D5" w:rsidP="009437D5">
                  <w:pPr>
                    <w:spacing w:after="0" w:line="240" w:lineRule="auto"/>
                    <w:jc w:val="both"/>
                    <w:rPr>
                      <w:rFonts w:ascii="Arial" w:eastAsia="Times New Roman" w:hAnsi="Arial"/>
                      <w:color w:val="000000"/>
                      <w:sz w:val="16"/>
                      <w:lang w:eastAsia="es-PE"/>
                    </w:rPr>
                  </w:pPr>
                  <w:r w:rsidRPr="002C6CCC">
                    <w:rPr>
                      <w:rFonts w:ascii="Arial" w:eastAsia="Times New Roman" w:hAnsi="Arial"/>
                      <w:b/>
                      <w:bCs/>
                      <w:color w:val="000000"/>
                      <w:sz w:val="16"/>
                      <w:lang w:eastAsia="es-PE"/>
                    </w:rPr>
                    <w:t>Condición N º 3:</w:t>
                  </w:r>
                  <w:r w:rsidRPr="002C6CCC">
                    <w:rPr>
                      <w:rFonts w:ascii="Arial" w:eastAsia="Times New Roman" w:hAnsi="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6033AB13" w14:textId="77777777" w:rsidR="009437D5" w:rsidRPr="002C6CCC" w:rsidRDefault="009437D5" w:rsidP="009437D5">
                  <w:pPr>
                    <w:spacing w:after="0" w:line="240" w:lineRule="auto"/>
                    <w:rPr>
                      <w:rFonts w:ascii="Arial" w:eastAsia="Times New Roman" w:hAnsi="Arial"/>
                      <w:color w:val="000000"/>
                      <w:sz w:val="16"/>
                      <w:lang w:eastAsia="es-PE"/>
                    </w:rPr>
                  </w:pPr>
                </w:p>
              </w:tc>
            </w:tr>
          </w:tbl>
          <w:p w14:paraId="09D3B846" w14:textId="77777777" w:rsidR="009437D5" w:rsidRPr="002C6CCC" w:rsidRDefault="009437D5" w:rsidP="009437D5">
            <w:pPr>
              <w:jc w:val="both"/>
              <w:rPr>
                <w:rFonts w:ascii="Arial" w:hAnsi="Arial"/>
                <w:sz w:val="20"/>
                <w:szCs w:val="20"/>
              </w:rPr>
            </w:pPr>
          </w:p>
          <w:p w14:paraId="1A51047D" w14:textId="77777777" w:rsidR="009437D5" w:rsidRDefault="009437D5" w:rsidP="009437D5">
            <w:pPr>
              <w:pStyle w:val="Prrafodelista"/>
              <w:jc w:val="both"/>
              <w:rPr>
                <w:rFonts w:ascii="Arial" w:hAnsi="Arial"/>
                <w:sz w:val="20"/>
                <w:szCs w:val="20"/>
              </w:rPr>
            </w:pPr>
          </w:p>
          <w:p w14:paraId="3125E596" w14:textId="77777777" w:rsidR="009437D5" w:rsidRDefault="009437D5" w:rsidP="009437D5">
            <w:pPr>
              <w:pStyle w:val="Prrafodelista"/>
              <w:numPr>
                <w:ilvl w:val="1"/>
                <w:numId w:val="2"/>
              </w:numPr>
              <w:jc w:val="both"/>
              <w:rPr>
                <w:rFonts w:ascii="Arial" w:hAnsi="Arial"/>
                <w:sz w:val="20"/>
                <w:szCs w:val="20"/>
              </w:rPr>
            </w:pPr>
            <w:r w:rsidRPr="00AA60BE">
              <w:rPr>
                <w:rFonts w:ascii="Arial" w:hAnsi="Arial"/>
                <w:sz w:val="20"/>
                <w:szCs w:val="20"/>
              </w:rPr>
              <w:t xml:space="preserve">Según </w:t>
            </w:r>
            <w:r>
              <w:rPr>
                <w:rFonts w:ascii="Arial" w:hAnsi="Arial"/>
                <w:sz w:val="20"/>
                <w:szCs w:val="20"/>
              </w:rPr>
              <w:t>la base de dato de monitoreo del</w:t>
            </w:r>
            <w:r w:rsidRPr="00AA60BE">
              <w:rPr>
                <w:rFonts w:ascii="Arial" w:hAnsi="Arial"/>
                <w:sz w:val="20"/>
                <w:szCs w:val="20"/>
              </w:rPr>
              <w:t xml:space="preserve"> Plan Nacional de Infraestructura </w:t>
            </w:r>
            <w:r>
              <w:rPr>
                <w:rFonts w:ascii="Arial" w:hAnsi="Arial"/>
                <w:sz w:val="20"/>
                <w:szCs w:val="20"/>
              </w:rPr>
              <w:t>Educativa (PNIE).</w:t>
            </w:r>
          </w:p>
          <w:p w14:paraId="15E56B7C" w14:textId="77777777" w:rsidR="009437D5" w:rsidRPr="00424184" w:rsidRDefault="009437D5" w:rsidP="009437D5">
            <w:pPr>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9437D5" w:rsidRPr="00A646D4" w14:paraId="030A284F" w14:textId="77777777" w:rsidTr="00B47531">
              <w:trPr>
                <w:trHeight w:val="283"/>
                <w:jc w:val="center"/>
              </w:trPr>
              <w:tc>
                <w:tcPr>
                  <w:tcW w:w="5127" w:type="dxa"/>
                  <w:shd w:val="clear" w:color="000000" w:fill="BFBFBF"/>
                  <w:vAlign w:val="center"/>
                  <w:hideMark/>
                </w:tcPr>
                <w:p w14:paraId="1D592C2C" w14:textId="77777777" w:rsidR="009437D5" w:rsidRPr="00A646D4" w:rsidRDefault="009437D5" w:rsidP="009437D5">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Local educativo </w:t>
                  </w:r>
                  <w:r>
                    <w:rPr>
                      <w:rFonts w:ascii="Arial" w:eastAsia="Times New Roman" w:hAnsi="Arial"/>
                      <w:b/>
                      <w:bCs/>
                      <w:sz w:val="16"/>
                      <w:szCs w:val="20"/>
                      <w:lang w:eastAsia="es-PE"/>
                    </w:rPr>
                    <w:t xml:space="preserve">o UP </w:t>
                  </w:r>
                  <w:r w:rsidRPr="00A646D4">
                    <w:rPr>
                      <w:rFonts w:ascii="Arial" w:eastAsia="Times New Roman" w:hAnsi="Arial"/>
                      <w:b/>
                      <w:bCs/>
                      <w:sz w:val="16"/>
                      <w:szCs w:val="20"/>
                      <w:lang w:eastAsia="es-PE"/>
                    </w:rPr>
                    <w:t>según el PNIE</w:t>
                  </w:r>
                </w:p>
              </w:tc>
              <w:tc>
                <w:tcPr>
                  <w:tcW w:w="2835" w:type="dxa"/>
                  <w:shd w:val="clear" w:color="000000" w:fill="BFBFBF"/>
                  <w:vAlign w:val="center"/>
                  <w:hideMark/>
                </w:tcPr>
                <w:p w14:paraId="01004956" w14:textId="77777777" w:rsidR="009437D5" w:rsidRPr="00A646D4" w:rsidRDefault="009437D5" w:rsidP="009437D5">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UP</w:t>
                  </w:r>
                </w:p>
              </w:tc>
            </w:tr>
            <w:tr w:rsidR="009437D5" w:rsidRPr="00A646D4" w14:paraId="6F7D4D70" w14:textId="77777777" w:rsidTr="00B47531">
              <w:trPr>
                <w:trHeight w:val="283"/>
                <w:jc w:val="center"/>
              </w:trPr>
              <w:tc>
                <w:tcPr>
                  <w:tcW w:w="5127" w:type="dxa"/>
                  <w:shd w:val="clear" w:color="auto" w:fill="auto"/>
                  <w:noWrap/>
                  <w:vAlign w:val="center"/>
                  <w:hideMark/>
                </w:tcPr>
                <w:p w14:paraId="37B91DCA" w14:textId="77777777" w:rsidR="009437D5" w:rsidRPr="00A646D4" w:rsidRDefault="009437D5" w:rsidP="009437D5">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53B8B179" w14:textId="77777777" w:rsidR="009437D5" w:rsidRPr="00A646D4" w:rsidRDefault="009437D5" w:rsidP="009437D5">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9437D5" w:rsidRPr="00A646D4" w14:paraId="411E7428" w14:textId="77777777" w:rsidTr="00B47531">
              <w:trPr>
                <w:trHeight w:val="283"/>
                <w:jc w:val="center"/>
              </w:trPr>
              <w:tc>
                <w:tcPr>
                  <w:tcW w:w="5127" w:type="dxa"/>
                  <w:shd w:val="clear" w:color="auto" w:fill="auto"/>
                  <w:noWrap/>
                  <w:vAlign w:val="center"/>
                </w:tcPr>
                <w:p w14:paraId="3510C3C4" w14:textId="77777777" w:rsidR="009437D5" w:rsidRPr="00A646D4" w:rsidRDefault="009437D5" w:rsidP="009437D5">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2835" w:type="dxa"/>
                  <w:vMerge/>
                  <w:vAlign w:val="center"/>
                </w:tcPr>
                <w:p w14:paraId="5F32F644" w14:textId="77777777" w:rsidR="009437D5" w:rsidRPr="00A646D4" w:rsidRDefault="009437D5" w:rsidP="009437D5">
                  <w:pPr>
                    <w:spacing w:after="0" w:line="240" w:lineRule="auto"/>
                    <w:contextualSpacing/>
                    <w:jc w:val="center"/>
                    <w:rPr>
                      <w:rFonts w:ascii="Arial" w:eastAsia="Times New Roman" w:hAnsi="Arial"/>
                      <w:sz w:val="16"/>
                      <w:szCs w:val="20"/>
                      <w:lang w:eastAsia="es-PE"/>
                    </w:rPr>
                  </w:pPr>
                </w:p>
              </w:tc>
            </w:tr>
            <w:tr w:rsidR="009437D5" w:rsidRPr="00A646D4" w14:paraId="0B376DBF" w14:textId="77777777" w:rsidTr="00B47531">
              <w:trPr>
                <w:trHeight w:val="283"/>
                <w:jc w:val="center"/>
              </w:trPr>
              <w:tc>
                <w:tcPr>
                  <w:tcW w:w="5127" w:type="dxa"/>
                  <w:shd w:val="clear" w:color="auto" w:fill="auto"/>
                  <w:noWrap/>
                  <w:vAlign w:val="center"/>
                </w:tcPr>
                <w:p w14:paraId="485AFA1F" w14:textId="77777777" w:rsidR="009437D5" w:rsidRPr="00A646D4" w:rsidRDefault="009437D5" w:rsidP="009437D5">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653A5E10" w14:textId="77777777" w:rsidR="009437D5" w:rsidRPr="00A646D4" w:rsidRDefault="009437D5" w:rsidP="009437D5">
                  <w:pPr>
                    <w:spacing w:after="0" w:line="240" w:lineRule="auto"/>
                    <w:contextualSpacing/>
                    <w:jc w:val="center"/>
                    <w:rPr>
                      <w:rFonts w:ascii="Arial" w:eastAsia="Times New Roman" w:hAnsi="Arial"/>
                      <w:sz w:val="16"/>
                      <w:szCs w:val="20"/>
                      <w:lang w:eastAsia="es-PE"/>
                    </w:rPr>
                  </w:pPr>
                </w:p>
              </w:tc>
            </w:tr>
            <w:tr w:rsidR="009437D5" w:rsidRPr="00A646D4" w14:paraId="568385C2" w14:textId="77777777" w:rsidTr="00B47531">
              <w:trPr>
                <w:trHeight w:val="283"/>
                <w:jc w:val="center"/>
              </w:trPr>
              <w:tc>
                <w:tcPr>
                  <w:tcW w:w="5127" w:type="dxa"/>
                  <w:shd w:val="clear" w:color="auto" w:fill="auto"/>
                  <w:noWrap/>
                  <w:vAlign w:val="center"/>
                </w:tcPr>
                <w:p w14:paraId="6879FB5F" w14:textId="77777777" w:rsidR="009437D5" w:rsidRPr="00A646D4" w:rsidRDefault="009437D5" w:rsidP="009437D5">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835" w:type="dxa"/>
                  <w:vMerge/>
                  <w:vAlign w:val="center"/>
                </w:tcPr>
                <w:p w14:paraId="2AAD5430" w14:textId="77777777" w:rsidR="009437D5" w:rsidRPr="00A646D4" w:rsidRDefault="009437D5" w:rsidP="009437D5">
                  <w:pPr>
                    <w:spacing w:after="0" w:line="240" w:lineRule="auto"/>
                    <w:contextualSpacing/>
                    <w:jc w:val="center"/>
                    <w:rPr>
                      <w:rFonts w:ascii="Arial" w:eastAsia="Times New Roman" w:hAnsi="Arial"/>
                      <w:sz w:val="16"/>
                      <w:szCs w:val="20"/>
                      <w:lang w:eastAsia="es-PE"/>
                    </w:rPr>
                  </w:pPr>
                </w:p>
              </w:tc>
            </w:tr>
            <w:tr w:rsidR="009437D5" w:rsidRPr="00A646D4" w14:paraId="1757B63D" w14:textId="77777777" w:rsidTr="00B47531">
              <w:trPr>
                <w:trHeight w:val="283"/>
                <w:jc w:val="center"/>
              </w:trPr>
              <w:tc>
                <w:tcPr>
                  <w:tcW w:w="5127" w:type="dxa"/>
                  <w:shd w:val="clear" w:color="auto" w:fill="auto"/>
                  <w:noWrap/>
                  <w:vAlign w:val="center"/>
                  <w:hideMark/>
                </w:tcPr>
                <w:p w14:paraId="0EAF58E4" w14:textId="77777777" w:rsidR="009437D5" w:rsidRPr="00A646D4" w:rsidRDefault="009437D5" w:rsidP="009437D5">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lastRenderedPageBreak/>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w:t>
                  </w:r>
                  <w:r>
                    <w:rPr>
                      <w:rFonts w:ascii="Arial" w:eastAsia="Times New Roman" w:hAnsi="Arial"/>
                      <w:sz w:val="16"/>
                      <w:szCs w:val="20"/>
                      <w:lang w:eastAsia="es-PE"/>
                    </w:rPr>
                    <w:t>l</w:t>
                  </w:r>
                  <w:r w:rsidRPr="00A646D4">
                    <w:rPr>
                      <w:rFonts w:ascii="Arial" w:eastAsia="Times New Roman" w:hAnsi="Arial"/>
                      <w:sz w:val="16"/>
                      <w:szCs w:val="20"/>
                      <w:lang w:eastAsia="es-PE"/>
                    </w:rPr>
                    <w:t xml:space="preserve"> servicio de electricidad.</w:t>
                  </w:r>
                </w:p>
              </w:tc>
              <w:tc>
                <w:tcPr>
                  <w:tcW w:w="2835" w:type="dxa"/>
                  <w:vMerge/>
                  <w:vAlign w:val="center"/>
                  <w:hideMark/>
                </w:tcPr>
                <w:p w14:paraId="77F1EE81" w14:textId="77777777" w:rsidR="009437D5" w:rsidRPr="00A646D4" w:rsidRDefault="009437D5" w:rsidP="009437D5">
                  <w:pPr>
                    <w:spacing w:after="0" w:line="240" w:lineRule="auto"/>
                    <w:contextualSpacing/>
                    <w:jc w:val="center"/>
                    <w:rPr>
                      <w:rFonts w:ascii="Arial" w:eastAsia="Times New Roman" w:hAnsi="Arial"/>
                      <w:sz w:val="16"/>
                      <w:szCs w:val="20"/>
                      <w:lang w:eastAsia="es-PE"/>
                    </w:rPr>
                  </w:pPr>
                </w:p>
              </w:tc>
            </w:tr>
            <w:tr w:rsidR="009437D5" w:rsidRPr="00A646D4" w14:paraId="65F3CC74" w14:textId="77777777" w:rsidTr="00B47531">
              <w:trPr>
                <w:trHeight w:val="283"/>
                <w:jc w:val="center"/>
              </w:trPr>
              <w:tc>
                <w:tcPr>
                  <w:tcW w:w="5127" w:type="dxa"/>
                  <w:shd w:val="clear" w:color="auto" w:fill="auto"/>
                  <w:noWrap/>
                  <w:vAlign w:val="center"/>
                  <w:hideMark/>
                </w:tcPr>
                <w:p w14:paraId="1AF700E1" w14:textId="77777777" w:rsidR="009437D5" w:rsidRPr="00A646D4" w:rsidRDefault="009437D5" w:rsidP="009437D5">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10E96C7E" w14:textId="77777777" w:rsidR="009437D5" w:rsidRPr="00A646D4" w:rsidRDefault="009437D5" w:rsidP="009437D5">
                  <w:pPr>
                    <w:spacing w:after="0" w:line="240" w:lineRule="auto"/>
                    <w:contextualSpacing/>
                    <w:jc w:val="center"/>
                    <w:rPr>
                      <w:rFonts w:ascii="Arial" w:eastAsia="Times New Roman" w:hAnsi="Arial"/>
                      <w:sz w:val="16"/>
                      <w:szCs w:val="20"/>
                      <w:lang w:eastAsia="es-PE"/>
                    </w:rPr>
                  </w:pPr>
                </w:p>
              </w:tc>
            </w:tr>
            <w:tr w:rsidR="009437D5" w:rsidRPr="00A646D4" w14:paraId="741644DF" w14:textId="77777777" w:rsidTr="00B47531">
              <w:trPr>
                <w:trHeight w:val="283"/>
                <w:jc w:val="center"/>
              </w:trPr>
              <w:tc>
                <w:tcPr>
                  <w:tcW w:w="5127" w:type="dxa"/>
                  <w:shd w:val="clear" w:color="auto" w:fill="auto"/>
                  <w:noWrap/>
                  <w:vAlign w:val="center"/>
                </w:tcPr>
                <w:p w14:paraId="54F75E33" w14:textId="77777777" w:rsidR="009437D5" w:rsidRPr="00A646D4" w:rsidRDefault="009437D5" w:rsidP="009437D5">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2835" w:type="dxa"/>
                  <w:vMerge/>
                  <w:shd w:val="clear" w:color="auto" w:fill="auto"/>
                  <w:vAlign w:val="center"/>
                </w:tcPr>
                <w:p w14:paraId="30E59F1F" w14:textId="77777777" w:rsidR="009437D5" w:rsidRPr="00A646D4" w:rsidRDefault="009437D5" w:rsidP="009437D5">
                  <w:pPr>
                    <w:spacing w:after="0" w:line="240" w:lineRule="auto"/>
                    <w:contextualSpacing/>
                    <w:jc w:val="center"/>
                    <w:rPr>
                      <w:rFonts w:ascii="Arial" w:eastAsia="Times New Roman" w:hAnsi="Arial"/>
                      <w:sz w:val="16"/>
                      <w:szCs w:val="20"/>
                      <w:lang w:eastAsia="es-PE"/>
                    </w:rPr>
                  </w:pPr>
                </w:p>
              </w:tc>
            </w:tr>
            <w:tr w:rsidR="009437D5" w:rsidRPr="00954049" w14:paraId="2BB94D7C" w14:textId="77777777" w:rsidTr="00B47531">
              <w:trPr>
                <w:trHeight w:val="283"/>
                <w:jc w:val="center"/>
              </w:trPr>
              <w:tc>
                <w:tcPr>
                  <w:tcW w:w="5127" w:type="dxa"/>
                  <w:shd w:val="clear" w:color="auto" w:fill="auto"/>
                  <w:noWrap/>
                  <w:vAlign w:val="center"/>
                  <w:hideMark/>
                </w:tcPr>
                <w:p w14:paraId="155D0C56" w14:textId="77777777" w:rsidR="009437D5" w:rsidRPr="00954049" w:rsidRDefault="009437D5" w:rsidP="009437D5">
                  <w:pPr>
                    <w:spacing w:after="0" w:line="240" w:lineRule="auto"/>
                    <w:contextualSpacing/>
                    <w:rPr>
                      <w:rFonts w:ascii="Arial" w:eastAsia="Times New Roman" w:hAnsi="Arial"/>
                      <w:sz w:val="16"/>
                      <w:szCs w:val="16"/>
                      <w:lang w:eastAsia="es-PE"/>
                    </w:rPr>
                  </w:pPr>
                  <w:r w:rsidRPr="00954049">
                    <w:rPr>
                      <w:rFonts w:ascii="Arial" w:eastAsia="Times New Roman" w:hAnsi="Arial"/>
                      <w:b/>
                      <w:sz w:val="16"/>
                      <w:szCs w:val="16"/>
                      <w:lang w:eastAsia="es-PE"/>
                    </w:rPr>
                    <w:t>Sin Intervención</w:t>
                  </w:r>
                  <w:r w:rsidRPr="00954049">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2DAEF352" w14:textId="77777777" w:rsidR="009437D5" w:rsidRPr="00954049" w:rsidRDefault="009437D5" w:rsidP="009437D5">
                  <w:pPr>
                    <w:spacing w:after="0" w:line="240" w:lineRule="auto"/>
                    <w:contextualSpacing/>
                    <w:jc w:val="center"/>
                    <w:rPr>
                      <w:rFonts w:ascii="Arial" w:eastAsia="Times New Roman" w:hAnsi="Arial"/>
                      <w:sz w:val="16"/>
                      <w:szCs w:val="20"/>
                      <w:lang w:eastAsia="es-PE"/>
                    </w:rPr>
                  </w:pPr>
                  <w:r w:rsidRPr="00954049">
                    <w:rPr>
                      <w:rFonts w:ascii="Arial" w:eastAsia="Times New Roman" w:hAnsi="Arial"/>
                      <w:sz w:val="16"/>
                      <w:szCs w:val="20"/>
                      <w:lang w:eastAsia="es-PE"/>
                    </w:rPr>
                    <w:t>Adecuada</w:t>
                  </w:r>
                </w:p>
              </w:tc>
            </w:tr>
            <w:tr w:rsidR="009437D5" w:rsidRPr="00954049" w14:paraId="77D739DE" w14:textId="77777777" w:rsidTr="00B47531">
              <w:trPr>
                <w:trHeight w:val="283"/>
                <w:jc w:val="center"/>
              </w:trPr>
              <w:tc>
                <w:tcPr>
                  <w:tcW w:w="5127" w:type="dxa"/>
                  <w:shd w:val="clear" w:color="auto" w:fill="auto"/>
                  <w:noWrap/>
                  <w:vAlign w:val="center"/>
                </w:tcPr>
                <w:p w14:paraId="7EDE4677" w14:textId="77777777" w:rsidR="009437D5" w:rsidRPr="00954049" w:rsidRDefault="009437D5" w:rsidP="009437D5">
                  <w:pPr>
                    <w:spacing w:after="0" w:line="240" w:lineRule="auto"/>
                    <w:contextualSpacing/>
                    <w:jc w:val="both"/>
                    <w:rPr>
                      <w:rFonts w:ascii="Arial" w:eastAsia="Times New Roman" w:hAnsi="Arial"/>
                      <w:sz w:val="16"/>
                      <w:szCs w:val="16"/>
                      <w:lang w:eastAsia="es-PE"/>
                    </w:rPr>
                  </w:pPr>
                  <w:r w:rsidRPr="00954049">
                    <w:rPr>
                      <w:rFonts w:ascii="Arial" w:eastAsia="Times New Roman" w:hAnsi="Arial"/>
                      <w:b/>
                      <w:sz w:val="16"/>
                      <w:szCs w:val="16"/>
                      <w:lang w:eastAsia="es-PE"/>
                    </w:rPr>
                    <w:t>Local educativo o unidad productora intervenido mediante un proyecto de inversión pública de infraestructura educativa:</w:t>
                  </w:r>
                  <w:r w:rsidRPr="00954049">
                    <w:rPr>
                      <w:rFonts w:ascii="Arial" w:eastAsia="Times New Roman" w:hAnsi="Arial"/>
                      <w:sz w:val="16"/>
                      <w:szCs w:val="16"/>
                      <w:lang w:eastAsia="es-PE"/>
                    </w:rPr>
                    <w:t xml:space="preserve"> Cuando se han completado las intervenciones mediante inversión que calificaban al local o unidad productora como inadecuado.</w:t>
                  </w:r>
                </w:p>
              </w:tc>
              <w:tc>
                <w:tcPr>
                  <w:tcW w:w="2835" w:type="dxa"/>
                  <w:vMerge/>
                  <w:shd w:val="clear" w:color="auto" w:fill="auto"/>
                  <w:vAlign w:val="center"/>
                </w:tcPr>
                <w:p w14:paraId="30423AD1" w14:textId="77777777" w:rsidR="009437D5" w:rsidRPr="00954049" w:rsidRDefault="009437D5" w:rsidP="009437D5">
                  <w:pPr>
                    <w:spacing w:after="0" w:line="240" w:lineRule="auto"/>
                    <w:contextualSpacing/>
                    <w:jc w:val="center"/>
                    <w:rPr>
                      <w:rFonts w:ascii="Arial" w:eastAsia="Times New Roman" w:hAnsi="Arial"/>
                      <w:sz w:val="20"/>
                      <w:szCs w:val="20"/>
                      <w:lang w:eastAsia="es-PE"/>
                    </w:rPr>
                  </w:pPr>
                </w:p>
              </w:tc>
            </w:tr>
          </w:tbl>
          <w:p w14:paraId="16D3E09A" w14:textId="77777777" w:rsidR="009437D5" w:rsidRPr="00954049" w:rsidRDefault="009437D5" w:rsidP="009437D5">
            <w:pPr>
              <w:jc w:val="both"/>
              <w:rPr>
                <w:rFonts w:ascii="Arial" w:hAnsi="Arial"/>
                <w:sz w:val="20"/>
                <w:szCs w:val="20"/>
              </w:rPr>
            </w:pPr>
          </w:p>
          <w:p w14:paraId="74BF9739" w14:textId="1CB65D0A" w:rsidR="00847D75" w:rsidRPr="00954049" w:rsidRDefault="009437D5" w:rsidP="00C072D4">
            <w:pPr>
              <w:pStyle w:val="Prrafodelista"/>
              <w:numPr>
                <w:ilvl w:val="1"/>
                <w:numId w:val="2"/>
              </w:numPr>
              <w:jc w:val="both"/>
              <w:rPr>
                <w:rFonts w:ascii="Arial" w:hAnsi="Arial"/>
                <w:sz w:val="20"/>
                <w:szCs w:val="20"/>
              </w:rPr>
            </w:pPr>
            <w:r w:rsidRPr="00954049">
              <w:rPr>
                <w:rFonts w:ascii="Arial" w:hAnsi="Arial"/>
                <w:sz w:val="20"/>
                <w:szCs w:val="20"/>
              </w:rPr>
              <w:t>Censo Escolar (CE)</w:t>
            </w:r>
            <w:r w:rsidR="00B27B6E" w:rsidRPr="00954049">
              <w:rPr>
                <w:rFonts w:ascii="Arial" w:hAnsi="Arial"/>
                <w:sz w:val="20"/>
                <w:szCs w:val="20"/>
              </w:rPr>
              <w:t>. Se determinará que u</w:t>
            </w:r>
            <w:r w:rsidR="0044550E" w:rsidRPr="00954049">
              <w:rPr>
                <w:rFonts w:ascii="Arial" w:hAnsi="Arial"/>
                <w:sz w:val="20"/>
                <w:szCs w:val="20"/>
              </w:rPr>
              <w:t>n ambiente se encuentra en estado inadecuado cuando al menos uno de sus elementos (pared, techo o piso) se encuentra con la denominación de Mal estado</w:t>
            </w:r>
            <w:r w:rsidR="00B27B6E" w:rsidRPr="00954049">
              <w:rPr>
                <w:rStyle w:val="Refdenotaalpie"/>
                <w:rFonts w:ascii="Arial" w:hAnsi="Arial"/>
                <w:sz w:val="20"/>
                <w:szCs w:val="20"/>
              </w:rPr>
              <w:footnoteReference w:id="7"/>
            </w:r>
            <w:r w:rsidR="0044550E" w:rsidRPr="00954049">
              <w:rPr>
                <w:rFonts w:ascii="Arial" w:hAnsi="Arial"/>
                <w:sz w:val="20"/>
                <w:szCs w:val="20"/>
              </w:rPr>
              <w:t xml:space="preserve">. Por lo tanto, </w:t>
            </w:r>
            <w:r w:rsidR="00376B3B" w:rsidRPr="00954049">
              <w:rPr>
                <w:rFonts w:ascii="Arial" w:hAnsi="Arial"/>
                <w:sz w:val="20"/>
                <w:szCs w:val="20"/>
              </w:rPr>
              <w:t>se estimará que la capacidad instalada de la UP se encuentra inadecuado, cuando al menos uno de sus ambientes se encuentre en estado inadecuado, tal como se muestra en el siguiente cuadro.</w:t>
            </w:r>
          </w:p>
          <w:p w14:paraId="65A8C483" w14:textId="1687BABF" w:rsidR="00847D75" w:rsidRPr="00954049" w:rsidRDefault="00847D75" w:rsidP="00847D75">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F8530A" w:rsidRPr="00954049" w14:paraId="62071FC8" w14:textId="77777777" w:rsidTr="00667867">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177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proofErr w:type="spellStart"/>
                  <w:r w:rsidRPr="00954049">
                    <w:rPr>
                      <w:rFonts w:ascii="Arial" w:eastAsia="Times New Roman" w:hAnsi="Arial" w:cs="Arial"/>
                      <w:color w:val="000000"/>
                      <w:sz w:val="20"/>
                      <w:szCs w:val="20"/>
                      <w:lang w:eastAsia="es-PE"/>
                    </w:rPr>
                    <w:t>Nº</w:t>
                  </w:r>
                  <w:proofErr w:type="spellEnd"/>
                  <w:r w:rsidRPr="00954049">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F36B893"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53D903" w14:textId="1F86D671"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8B91A5D" w14:textId="19474B76"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0352633"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Estado del ambiente</w:t>
                  </w:r>
                </w:p>
              </w:tc>
            </w:tr>
            <w:tr w:rsidR="00F8530A" w:rsidRPr="00954049" w14:paraId="30314186"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65B30C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336ACBBC"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316C0C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AEEE8E3"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A692EB1"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Adecuado</w:t>
                  </w:r>
                </w:p>
              </w:tc>
            </w:tr>
            <w:tr w:rsidR="00F8530A" w:rsidRPr="00954049" w14:paraId="6AA3317C"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CAB8A0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0BDAC19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24103A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33558E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09FB9AE"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Adecuado</w:t>
                  </w:r>
                </w:p>
              </w:tc>
            </w:tr>
            <w:tr w:rsidR="00F8530A" w:rsidRPr="00954049" w14:paraId="38DF8B56"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1AE43C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656A178E"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21697A0"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7C3A453"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783DDC5"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48600EAD"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2F121A1"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A410F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C2B3708"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0EB184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6103F7A"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Adecuado</w:t>
                  </w:r>
                </w:p>
              </w:tc>
            </w:tr>
            <w:tr w:rsidR="00F8530A" w:rsidRPr="00954049" w14:paraId="701E096B"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81FE29C"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45336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BD1706C"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CD2CB0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DC4C09D"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Adecuado</w:t>
                  </w:r>
                </w:p>
              </w:tc>
            </w:tr>
            <w:tr w:rsidR="00F8530A" w:rsidRPr="00954049" w14:paraId="381C2525"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B5C4B87"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2ECA450C"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0C7B06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7C65CF8"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7FE966DD"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6E1EA438"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AC9D5D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1C1D1A9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3927810"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514C9CA"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98E2B44"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Adecuado</w:t>
                  </w:r>
                </w:p>
              </w:tc>
            </w:tr>
            <w:tr w:rsidR="00F8530A" w:rsidRPr="00954049" w14:paraId="13A9133A"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88EF45A"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0F40EBDA"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8A4C4CA"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41E54DE"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AAAC089"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7921F2D2"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853482C"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0E04B15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5149CB7"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2CCFC3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CF47463"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Adecuado</w:t>
                  </w:r>
                </w:p>
              </w:tc>
            </w:tr>
            <w:tr w:rsidR="00F8530A" w:rsidRPr="00954049" w14:paraId="08D3F1BD"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6D620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D570E4C"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FCC4C5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B9920B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C89AD8E"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7538FAF8"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5ED884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4491AA2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338F036"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A6405E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A4286C4"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Adecuado</w:t>
                  </w:r>
                </w:p>
              </w:tc>
            </w:tr>
            <w:tr w:rsidR="00F8530A" w:rsidRPr="00954049" w14:paraId="0A641148"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01004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F741A6E"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426ACB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ABE23D6"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B717361"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Adecuado</w:t>
                  </w:r>
                </w:p>
              </w:tc>
            </w:tr>
            <w:tr w:rsidR="00F8530A" w:rsidRPr="00954049" w14:paraId="3A5AF113"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BF79DB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56B70C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5D1FAE1"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3923DE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C5D177E"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5D0CC031"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DDF3780"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0760FBED"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EAD5F1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C25740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3E04039"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7D65D2E9"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D3610C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2E2FBC7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85D6D27"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3316828"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9758B18"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14D38748"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659218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64679BF1"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5D6685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D6D616A"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83F05F0"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45D693DD"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1F98663"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2CA54468"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B3E0559"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56010AE"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16CCBE4"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2107E8DC"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3F35B4E"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3A02925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FB590C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3806628"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FDBDF07"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4D9131BC"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77D072E"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22893F96"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6592919"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58A6220"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8E32863"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70CE0EED"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62DD5F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3776F279"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940E233"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9329AFC"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570BB4C"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01E212A0"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C1F7C68"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4EF4613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04381F6"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8DD663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0A69655"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6D93B823"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8F12C23"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37371468"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716B485"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D182AE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331EE67"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3D5056AF"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70C04E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03262629"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992A47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9BD7F6B"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5CE1033"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652C6091"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E1A4F77"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6267648A"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388F9F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8E97D66"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07C8CA5"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7651FDA9"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2819794"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70A10119"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BB4117E"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1000E3"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EFEF6E1"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24E15959"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27D3A20"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592BAFAC"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BFF2F59"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7C86FA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F7133EA"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r w:rsidR="00F8530A" w:rsidRPr="00954049" w14:paraId="53316427" w14:textId="77777777" w:rsidTr="00667867">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42D6DCA"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0DD9E302"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AE68AAE"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96335EF" w14:textId="77777777" w:rsidR="00F8530A" w:rsidRPr="00954049" w:rsidRDefault="00F8530A" w:rsidP="00F8530A">
                  <w:pPr>
                    <w:spacing w:after="0" w:line="240" w:lineRule="auto"/>
                    <w:jc w:val="center"/>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E19146C" w14:textId="77777777" w:rsidR="00F8530A" w:rsidRPr="00954049" w:rsidRDefault="00F8530A" w:rsidP="00F8530A">
                  <w:pPr>
                    <w:spacing w:after="0" w:line="240" w:lineRule="auto"/>
                    <w:rPr>
                      <w:rFonts w:ascii="Arial" w:eastAsia="Times New Roman" w:hAnsi="Arial" w:cs="Arial"/>
                      <w:color w:val="000000"/>
                      <w:sz w:val="20"/>
                      <w:szCs w:val="20"/>
                      <w:lang w:eastAsia="es-PE"/>
                    </w:rPr>
                  </w:pPr>
                  <w:r w:rsidRPr="00954049">
                    <w:rPr>
                      <w:rFonts w:ascii="Arial" w:eastAsia="Times New Roman" w:hAnsi="Arial" w:cs="Arial"/>
                      <w:color w:val="000000"/>
                      <w:sz w:val="20"/>
                      <w:szCs w:val="20"/>
                      <w:lang w:eastAsia="es-PE"/>
                    </w:rPr>
                    <w:t>Inadecuado</w:t>
                  </w:r>
                </w:p>
              </w:tc>
            </w:tr>
          </w:tbl>
          <w:p w14:paraId="02B9B06E" w14:textId="77777777" w:rsidR="00F8530A" w:rsidRPr="00954049" w:rsidRDefault="00F8530A">
            <w:pPr>
              <w:jc w:val="both"/>
              <w:rPr>
                <w:rFonts w:ascii="Arial" w:hAnsi="Arial"/>
                <w:sz w:val="20"/>
                <w:szCs w:val="20"/>
              </w:rPr>
            </w:pPr>
          </w:p>
          <w:p w14:paraId="3771B4C2" w14:textId="77777777" w:rsidR="00F8530A" w:rsidRPr="00954049" w:rsidRDefault="00F8530A" w:rsidP="00F8530A">
            <w:pPr>
              <w:jc w:val="both"/>
              <w:rPr>
                <w:rFonts w:ascii="Arial" w:hAnsi="Arial"/>
                <w:sz w:val="20"/>
                <w:szCs w:val="20"/>
              </w:rPr>
            </w:pPr>
          </w:p>
          <w:p w14:paraId="0F48AC4F" w14:textId="358BC8BD" w:rsidR="009437D5" w:rsidRPr="00954049" w:rsidRDefault="00B47531" w:rsidP="009437D5">
            <w:pPr>
              <w:pStyle w:val="Prrafodelista"/>
              <w:ind w:left="1440"/>
              <w:jc w:val="both"/>
              <w:rPr>
                <w:rFonts w:ascii="Arial" w:hAnsi="Arial"/>
                <w:sz w:val="20"/>
                <w:szCs w:val="20"/>
              </w:rPr>
            </w:pPr>
            <w:r w:rsidRPr="00954049">
              <w:rPr>
                <w:rFonts w:ascii="Arial" w:hAnsi="Arial"/>
                <w:sz w:val="20"/>
                <w:szCs w:val="20"/>
              </w:rPr>
              <w:t>Donde:</w:t>
            </w:r>
          </w:p>
          <w:p w14:paraId="4EA0D4CC" w14:textId="0B1083A8" w:rsidR="00B47531" w:rsidRPr="00954049" w:rsidRDefault="00B47531" w:rsidP="009437D5">
            <w:pPr>
              <w:pStyle w:val="Prrafodelista"/>
              <w:ind w:left="1440"/>
              <w:jc w:val="both"/>
              <w:rPr>
                <w:rFonts w:ascii="Arial" w:hAnsi="Arial"/>
                <w:sz w:val="20"/>
                <w:szCs w:val="20"/>
              </w:rPr>
            </w:pPr>
          </w:p>
          <w:p w14:paraId="13978CF1" w14:textId="66D6AEC0" w:rsidR="00B47531" w:rsidRPr="00954049" w:rsidRDefault="00B47531" w:rsidP="009437D5">
            <w:pPr>
              <w:pStyle w:val="Prrafodelista"/>
              <w:ind w:left="1440"/>
              <w:jc w:val="both"/>
              <w:rPr>
                <w:rFonts w:ascii="Arial" w:hAnsi="Arial"/>
                <w:sz w:val="20"/>
                <w:szCs w:val="20"/>
              </w:rPr>
            </w:pPr>
            <w:r w:rsidRPr="00954049">
              <w:rPr>
                <w:rFonts w:ascii="Arial" w:hAnsi="Arial"/>
                <w:sz w:val="20"/>
                <w:szCs w:val="20"/>
              </w:rPr>
              <w:t xml:space="preserve">B: </w:t>
            </w:r>
            <w:r w:rsidR="005630AB" w:rsidRPr="00954049">
              <w:rPr>
                <w:rFonts w:ascii="Arial" w:hAnsi="Arial"/>
                <w:sz w:val="20"/>
                <w:szCs w:val="20"/>
              </w:rPr>
              <w:t>Bueno</w:t>
            </w:r>
            <w:r w:rsidR="00F8530A" w:rsidRPr="00954049">
              <w:rPr>
                <w:rFonts w:ascii="Arial" w:hAnsi="Arial"/>
                <w:sz w:val="20"/>
                <w:szCs w:val="20"/>
              </w:rPr>
              <w:t xml:space="preserve"> estado</w:t>
            </w:r>
          </w:p>
          <w:p w14:paraId="1CDE5DD9" w14:textId="65D1804A" w:rsidR="005630AB" w:rsidRPr="00954049" w:rsidRDefault="005630AB" w:rsidP="009437D5">
            <w:pPr>
              <w:pStyle w:val="Prrafodelista"/>
              <w:ind w:left="1440"/>
              <w:jc w:val="both"/>
              <w:rPr>
                <w:rFonts w:ascii="Arial" w:hAnsi="Arial"/>
                <w:sz w:val="20"/>
                <w:szCs w:val="20"/>
              </w:rPr>
            </w:pPr>
            <w:r w:rsidRPr="00954049">
              <w:rPr>
                <w:rFonts w:ascii="Arial" w:hAnsi="Arial"/>
                <w:sz w:val="20"/>
                <w:szCs w:val="20"/>
              </w:rPr>
              <w:t>R: Regular</w:t>
            </w:r>
            <w:r w:rsidR="00F8530A" w:rsidRPr="00954049">
              <w:rPr>
                <w:rFonts w:ascii="Arial" w:hAnsi="Arial"/>
                <w:sz w:val="20"/>
                <w:szCs w:val="20"/>
              </w:rPr>
              <w:t xml:space="preserve"> estado</w:t>
            </w:r>
          </w:p>
          <w:p w14:paraId="3309DEDF" w14:textId="63278675" w:rsidR="005630AB" w:rsidRPr="00954049" w:rsidRDefault="005630AB" w:rsidP="009437D5">
            <w:pPr>
              <w:pStyle w:val="Prrafodelista"/>
              <w:ind w:left="1440"/>
              <w:jc w:val="both"/>
              <w:rPr>
                <w:rFonts w:ascii="Arial" w:hAnsi="Arial"/>
                <w:sz w:val="20"/>
                <w:szCs w:val="20"/>
              </w:rPr>
            </w:pPr>
            <w:r w:rsidRPr="00954049">
              <w:rPr>
                <w:rFonts w:ascii="Arial" w:hAnsi="Arial"/>
                <w:sz w:val="20"/>
                <w:szCs w:val="20"/>
              </w:rPr>
              <w:t>M: Malo</w:t>
            </w:r>
            <w:r w:rsidR="00F8530A" w:rsidRPr="00954049">
              <w:rPr>
                <w:rFonts w:ascii="Arial" w:hAnsi="Arial"/>
                <w:sz w:val="20"/>
                <w:szCs w:val="20"/>
              </w:rPr>
              <w:t xml:space="preserve"> estado</w:t>
            </w:r>
          </w:p>
          <w:p w14:paraId="65CE97B1" w14:textId="419E3DC3" w:rsidR="00B47531" w:rsidRPr="00954049" w:rsidRDefault="00B47531" w:rsidP="009437D5">
            <w:pPr>
              <w:pStyle w:val="Prrafodelista"/>
              <w:ind w:left="1440"/>
              <w:jc w:val="both"/>
              <w:rPr>
                <w:rFonts w:ascii="Arial" w:hAnsi="Arial"/>
                <w:sz w:val="20"/>
                <w:szCs w:val="20"/>
              </w:rPr>
            </w:pPr>
          </w:p>
          <w:p w14:paraId="6EB44139" w14:textId="294FC7AB" w:rsidR="00B47531" w:rsidRPr="00954049" w:rsidRDefault="00B47531" w:rsidP="00B47531">
            <w:pPr>
              <w:jc w:val="both"/>
              <w:rPr>
                <w:rFonts w:ascii="Arial" w:hAnsi="Arial"/>
                <w:sz w:val="20"/>
                <w:szCs w:val="20"/>
              </w:rPr>
            </w:pPr>
          </w:p>
          <w:p w14:paraId="74ABC0FC" w14:textId="3BCD7E01" w:rsidR="00B47531" w:rsidRPr="00954049" w:rsidRDefault="00B47531" w:rsidP="00F8530A">
            <w:pPr>
              <w:ind w:left="1014"/>
              <w:jc w:val="both"/>
              <w:rPr>
                <w:rFonts w:ascii="Arial" w:hAnsi="Arial"/>
                <w:sz w:val="20"/>
                <w:szCs w:val="20"/>
              </w:rPr>
            </w:pPr>
            <w:r w:rsidRPr="00954049">
              <w:rPr>
                <w:rFonts w:ascii="Arial" w:hAnsi="Arial"/>
                <w:sz w:val="20"/>
                <w:szCs w:val="20"/>
              </w:rPr>
              <w:t>Para el caso de los espacios deportivos abiertos y espacios exteriores o de relación con la naturaleza la información del estado</w:t>
            </w:r>
            <w:r w:rsidR="000129B3" w:rsidRPr="00954049">
              <w:rPr>
                <w:rFonts w:ascii="Arial" w:hAnsi="Arial"/>
                <w:sz w:val="20"/>
                <w:szCs w:val="20"/>
              </w:rPr>
              <w:t xml:space="preserve"> del ambiente</w:t>
            </w:r>
            <w:r w:rsidRPr="00954049">
              <w:rPr>
                <w:rFonts w:ascii="Arial" w:hAnsi="Arial"/>
                <w:sz w:val="20"/>
                <w:szCs w:val="20"/>
              </w:rPr>
              <w:t xml:space="preserve"> se solicita </w:t>
            </w:r>
            <w:r w:rsidR="005630AB" w:rsidRPr="00954049">
              <w:rPr>
                <w:rFonts w:ascii="Arial" w:hAnsi="Arial"/>
                <w:sz w:val="20"/>
                <w:szCs w:val="20"/>
              </w:rPr>
              <w:t xml:space="preserve">al director, ya que para estos ambientes no es posible declarar los componentes como pared </w:t>
            </w:r>
            <w:r w:rsidR="000129B3" w:rsidRPr="00954049">
              <w:rPr>
                <w:rFonts w:ascii="Arial" w:hAnsi="Arial"/>
                <w:sz w:val="20"/>
                <w:szCs w:val="20"/>
              </w:rPr>
              <w:t xml:space="preserve">o </w:t>
            </w:r>
            <w:r w:rsidR="005630AB" w:rsidRPr="00954049">
              <w:rPr>
                <w:rFonts w:ascii="Arial" w:hAnsi="Arial"/>
                <w:sz w:val="20"/>
                <w:szCs w:val="20"/>
              </w:rPr>
              <w:t>techo.</w:t>
            </w:r>
          </w:p>
          <w:p w14:paraId="2E11E3E5" w14:textId="77777777" w:rsidR="00B47531" w:rsidRPr="00954049" w:rsidRDefault="00B47531" w:rsidP="00F8530A">
            <w:pPr>
              <w:jc w:val="both"/>
              <w:rPr>
                <w:rFonts w:ascii="Arial" w:hAnsi="Arial"/>
                <w:sz w:val="20"/>
                <w:szCs w:val="20"/>
              </w:rPr>
            </w:pPr>
          </w:p>
          <w:p w14:paraId="44F99B8D" w14:textId="77777777" w:rsidR="009437D5" w:rsidRPr="00954049" w:rsidRDefault="009437D5" w:rsidP="009437D5">
            <w:pPr>
              <w:autoSpaceDE w:val="0"/>
              <w:autoSpaceDN w:val="0"/>
              <w:ind w:left="1416"/>
              <w:contextualSpacing/>
              <w:jc w:val="both"/>
              <w:rPr>
                <w:rFonts w:ascii="Arial" w:hAnsi="Arial"/>
                <w:sz w:val="20"/>
                <w:szCs w:val="20"/>
              </w:rPr>
            </w:pPr>
          </w:p>
          <w:p w14:paraId="36D14485" w14:textId="77777777" w:rsidR="009437D5" w:rsidRPr="00954049" w:rsidRDefault="009437D5" w:rsidP="009437D5">
            <w:pPr>
              <w:pStyle w:val="Prrafodelista"/>
              <w:numPr>
                <w:ilvl w:val="0"/>
                <w:numId w:val="2"/>
              </w:numPr>
              <w:autoSpaceDE w:val="0"/>
              <w:autoSpaceDN w:val="0"/>
              <w:jc w:val="both"/>
              <w:rPr>
                <w:rFonts w:ascii="Arial" w:eastAsiaTheme="minorEastAsia" w:hAnsi="Arial"/>
                <w:sz w:val="20"/>
                <w:szCs w:val="20"/>
              </w:rPr>
            </w:pPr>
            <w:r w:rsidRPr="00954049">
              <w:rPr>
                <w:rFonts w:ascii="Arial" w:eastAsiaTheme="minorEastAsia" w:hAnsi="Arial"/>
                <w:sz w:val="20"/>
                <w:szCs w:val="20"/>
              </w:rPr>
              <w:t>Para efectos de estimar con precisión el valor numérico de los indicadores y contar con un elevado nivel de confianza del estado de las UP a través de un análisis de inversión, no se consideran las inversiones con las siguientes características</w:t>
            </w:r>
            <w:r w:rsidRPr="00954049">
              <w:rPr>
                <w:rStyle w:val="Refdenotaalpie"/>
                <w:rFonts w:ascii="Arial" w:eastAsiaTheme="minorEastAsia" w:hAnsi="Arial"/>
                <w:sz w:val="20"/>
                <w:szCs w:val="20"/>
              </w:rPr>
              <w:footnoteReference w:id="8"/>
            </w:r>
            <w:r w:rsidRPr="00954049">
              <w:rPr>
                <w:rFonts w:ascii="Arial" w:eastAsiaTheme="minorEastAsia" w:hAnsi="Arial"/>
                <w:sz w:val="20"/>
                <w:szCs w:val="20"/>
              </w:rPr>
              <w:t>:</w:t>
            </w:r>
          </w:p>
          <w:p w14:paraId="153E630F" w14:textId="77777777" w:rsidR="009437D5" w:rsidRPr="002C6CCC" w:rsidRDefault="009437D5" w:rsidP="009437D5">
            <w:pPr>
              <w:pStyle w:val="Prrafodelista"/>
              <w:autoSpaceDE w:val="0"/>
              <w:autoSpaceDN w:val="0"/>
              <w:jc w:val="both"/>
              <w:rPr>
                <w:rFonts w:ascii="Arial" w:eastAsiaTheme="minorEastAsia" w:hAnsi="Arial"/>
                <w:sz w:val="20"/>
                <w:szCs w:val="20"/>
              </w:rPr>
            </w:pPr>
          </w:p>
          <w:p w14:paraId="156AE788" w14:textId="77777777" w:rsidR="009437D5" w:rsidRPr="002C6CCC" w:rsidRDefault="009437D5" w:rsidP="009437D5">
            <w:pPr>
              <w:pStyle w:val="Prrafodelista"/>
              <w:numPr>
                <w:ilvl w:val="0"/>
                <w:numId w:val="4"/>
              </w:numPr>
              <w:jc w:val="both"/>
              <w:rPr>
                <w:rFonts w:ascii="Arial" w:eastAsiaTheme="minorEastAsia" w:hAnsi="Arial"/>
                <w:sz w:val="20"/>
                <w:szCs w:val="20"/>
              </w:rPr>
            </w:pPr>
            <w:r w:rsidRPr="002C6CCC">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 UP sea integral, por lo que no se puede determinar el valor de su contribución al cierre de brecha</w:t>
            </w:r>
            <w:r>
              <w:rPr>
                <w:rStyle w:val="Refdenotaalpie"/>
                <w:rFonts w:ascii="Arial" w:eastAsiaTheme="minorEastAsia" w:hAnsi="Arial"/>
                <w:sz w:val="20"/>
                <w:szCs w:val="20"/>
              </w:rPr>
              <w:footnoteReference w:id="9"/>
            </w:r>
            <w:r>
              <w:rPr>
                <w:rFonts w:ascii="Arial" w:eastAsiaTheme="minorEastAsia" w:hAnsi="Arial"/>
                <w:sz w:val="20"/>
                <w:szCs w:val="20"/>
              </w:rPr>
              <w:t>.</w:t>
            </w:r>
          </w:p>
          <w:p w14:paraId="4140FEE8" w14:textId="77777777" w:rsidR="009437D5" w:rsidRPr="00FE404C" w:rsidRDefault="009437D5" w:rsidP="009437D5">
            <w:pPr>
              <w:pStyle w:val="Prrafodelista"/>
              <w:numPr>
                <w:ilvl w:val="0"/>
                <w:numId w:val="4"/>
              </w:numPr>
              <w:jc w:val="both"/>
              <w:rPr>
                <w:rFonts w:ascii="Arial" w:eastAsiaTheme="minorEastAsia" w:hAnsi="Arial"/>
                <w:sz w:val="20"/>
                <w:szCs w:val="20"/>
              </w:rPr>
            </w:pPr>
            <w:r w:rsidRPr="002C6CCC">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757FF474" w14:textId="77777777" w:rsidR="009437D5" w:rsidRPr="00DC1294" w:rsidRDefault="009437D5" w:rsidP="009437D5">
            <w:pPr>
              <w:pStyle w:val="Prrafodelista"/>
              <w:numPr>
                <w:ilvl w:val="0"/>
                <w:numId w:val="4"/>
              </w:numPr>
              <w:jc w:val="both"/>
              <w:rPr>
                <w:rFonts w:ascii="Arial" w:eastAsiaTheme="minorEastAsia" w:hAnsi="Arial"/>
                <w:sz w:val="20"/>
                <w:szCs w:val="20"/>
              </w:rPr>
            </w:pPr>
            <w:r w:rsidRPr="002C6CCC">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48D1EEBE" w14:textId="77777777" w:rsidR="009437D5" w:rsidRDefault="009437D5" w:rsidP="009437D5">
            <w:pPr>
              <w:pStyle w:val="Prrafodelista"/>
              <w:numPr>
                <w:ilvl w:val="0"/>
                <w:numId w:val="4"/>
              </w:numPr>
              <w:jc w:val="both"/>
              <w:rPr>
                <w:rFonts w:ascii="Arial" w:eastAsiaTheme="minorEastAsia" w:hAnsi="Arial"/>
                <w:sz w:val="20"/>
                <w:szCs w:val="20"/>
              </w:rPr>
            </w:pPr>
            <w:r w:rsidRPr="002C6CCC">
              <w:rPr>
                <w:rFonts w:ascii="Arial" w:eastAsiaTheme="minorEastAsia" w:hAnsi="Arial"/>
                <w:sz w:val="20"/>
                <w:szCs w:val="20"/>
              </w:rPr>
              <w:t>No se consideran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38C0B861" w14:textId="77777777" w:rsidR="009437D5" w:rsidRPr="00DC1294" w:rsidRDefault="009437D5" w:rsidP="009437D5">
            <w:pPr>
              <w:pStyle w:val="Prrafodelista"/>
              <w:numPr>
                <w:ilvl w:val="0"/>
                <w:numId w:val="4"/>
              </w:numPr>
              <w:jc w:val="both"/>
              <w:rPr>
                <w:rFonts w:ascii="Arial" w:eastAsiaTheme="minorEastAsia" w:hAnsi="Arial"/>
                <w:sz w:val="20"/>
                <w:szCs w:val="20"/>
              </w:rPr>
            </w:pPr>
            <w:r w:rsidRPr="00DC1294">
              <w:rPr>
                <w:rFonts w:ascii="Arial" w:eastAsiaTheme="minorEastAsia" w:hAnsi="Arial"/>
                <w:sz w:val="20"/>
                <w:szCs w:val="20"/>
              </w:rPr>
              <w:t>No se consideran inversiones asociadas a los PRONOEI, dado que, por las características de estos programas, no se podría garantizar la continuidad del servicio educativo a lo largo del horizonte de evaluación del proyecto</w:t>
            </w:r>
            <w:r w:rsidRPr="007954C3">
              <w:rPr>
                <w:rFonts w:ascii="Arial" w:eastAsiaTheme="minorEastAsia" w:hAnsi="Arial"/>
                <w:sz w:val="20"/>
                <w:szCs w:val="20"/>
                <w:vertAlign w:val="superscript"/>
              </w:rPr>
              <w:footnoteReference w:id="10"/>
            </w:r>
            <w:r w:rsidRPr="00DC1294">
              <w:rPr>
                <w:rFonts w:ascii="Arial" w:eastAsiaTheme="minorEastAsia" w:hAnsi="Arial"/>
                <w:sz w:val="20"/>
                <w:szCs w:val="20"/>
              </w:rPr>
              <w:t xml:space="preserve">. </w:t>
            </w:r>
          </w:p>
          <w:p w14:paraId="546E3468" w14:textId="77777777" w:rsidR="009437D5" w:rsidRPr="00DC1294" w:rsidRDefault="009437D5" w:rsidP="009437D5">
            <w:pPr>
              <w:pStyle w:val="Prrafodelista"/>
              <w:numPr>
                <w:ilvl w:val="0"/>
                <w:numId w:val="4"/>
              </w:numPr>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22DD6B73" w14:textId="77777777" w:rsidR="009437D5" w:rsidRPr="00AA60BE" w:rsidRDefault="009437D5" w:rsidP="009437D5">
            <w:pPr>
              <w:pStyle w:val="Prrafodelista"/>
            </w:pPr>
          </w:p>
          <w:p w14:paraId="236FE34F" w14:textId="77777777" w:rsidR="009437D5" w:rsidRDefault="009437D5" w:rsidP="009437D5">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167020F3" w14:textId="77777777" w:rsidR="009437D5" w:rsidRDefault="009437D5" w:rsidP="009437D5">
            <w:pPr>
              <w:pStyle w:val="Prrafodelista"/>
              <w:rPr>
                <w:rFonts w:ascii="Arial" w:eastAsiaTheme="minorEastAsia" w:hAnsi="Arial"/>
                <w:sz w:val="20"/>
                <w:szCs w:val="20"/>
              </w:rPr>
            </w:pPr>
          </w:p>
          <w:p w14:paraId="66ACB62F" w14:textId="77777777" w:rsidR="009437D5" w:rsidRPr="003B66E9" w:rsidRDefault="009437D5" w:rsidP="009437D5">
            <w:pPr>
              <w:pStyle w:val="Prrafodelista"/>
              <w:numPr>
                <w:ilvl w:val="0"/>
                <w:numId w:val="3"/>
              </w:numPr>
              <w:jc w:val="both"/>
              <w:rPr>
                <w:rFonts w:ascii="Arial" w:eastAsiaTheme="minorEastAsia" w:hAnsi="Arial"/>
                <w:sz w:val="20"/>
                <w:szCs w:val="20"/>
              </w:rPr>
            </w:pPr>
            <w:r w:rsidRPr="002C6CCC">
              <w:rPr>
                <w:rFonts w:ascii="Arial" w:eastAsiaTheme="minorEastAsia" w:hAnsi="Arial"/>
                <w:sz w:val="20"/>
                <w:szCs w:val="20"/>
              </w:rPr>
              <w:t xml:space="preserve">En caso la </w:t>
            </w:r>
            <w:r>
              <w:rPr>
                <w:rFonts w:ascii="Arial" w:eastAsiaTheme="minorEastAsia" w:hAnsi="Arial"/>
                <w:sz w:val="20"/>
                <w:szCs w:val="20"/>
              </w:rPr>
              <w:t>UP</w:t>
            </w:r>
            <w:r w:rsidRPr="002C6CCC">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Pr>
                <w:rFonts w:ascii="Arial" w:eastAsiaTheme="minorEastAsia" w:hAnsi="Arial"/>
                <w:sz w:val="20"/>
                <w:szCs w:val="20"/>
              </w:rPr>
              <w:t>estima</w:t>
            </w:r>
            <w:r w:rsidRPr="002C6CCC">
              <w:rPr>
                <w:rFonts w:ascii="Arial" w:eastAsiaTheme="minorEastAsia" w:hAnsi="Arial"/>
                <w:sz w:val="20"/>
                <w:szCs w:val="20"/>
              </w:rPr>
              <w:t xml:space="preserve"> el estado de las </w:t>
            </w:r>
            <w:r>
              <w:rPr>
                <w:rFonts w:ascii="Arial" w:eastAsiaTheme="minorEastAsia" w:hAnsi="Arial"/>
                <w:sz w:val="20"/>
                <w:szCs w:val="20"/>
              </w:rPr>
              <w:t>UP</w:t>
            </w:r>
            <w:r w:rsidRPr="002C6CCC">
              <w:rPr>
                <w:rFonts w:ascii="Arial" w:eastAsiaTheme="minorEastAsia" w:hAnsi="Arial"/>
                <w:sz w:val="20"/>
                <w:szCs w:val="20"/>
              </w:rPr>
              <w:t xml:space="preserve"> con mayor precisión al ser el resultado de un análisis de las variables registradas por las UF y UEI en los </w:t>
            </w:r>
            <w:r>
              <w:rPr>
                <w:rFonts w:ascii="Arial" w:eastAsiaTheme="minorEastAsia" w:hAnsi="Arial"/>
                <w:sz w:val="20"/>
                <w:szCs w:val="20"/>
              </w:rPr>
              <w:t>aplicativos informáticos del Sistema Nacional de Programación Multianual y Gestión de Inversiones</w:t>
            </w:r>
            <w:r w:rsidRPr="002C6CCC">
              <w:rPr>
                <w:rFonts w:ascii="Arial" w:eastAsiaTheme="minorEastAsia" w:hAnsi="Arial"/>
                <w:sz w:val="20"/>
                <w:szCs w:val="20"/>
              </w:rPr>
              <w:t>.</w:t>
            </w:r>
            <w:r>
              <w:rPr>
                <w:rFonts w:ascii="Arial" w:eastAsiaTheme="minorEastAsia" w:hAnsi="Arial"/>
                <w:sz w:val="20"/>
                <w:szCs w:val="20"/>
              </w:rPr>
              <w:t xml:space="preserve"> Esta base de datos es actualizada anualmente. </w:t>
            </w:r>
            <w:r w:rsidRPr="002C6CCC">
              <w:rPr>
                <w:rFonts w:ascii="Arial" w:eastAsiaTheme="minorEastAsia" w:hAnsi="Arial"/>
                <w:sz w:val="20"/>
                <w:szCs w:val="20"/>
              </w:rPr>
              <w:t xml:space="preserve"> </w:t>
            </w:r>
            <w:r w:rsidRPr="003B66E9">
              <w:rPr>
                <w:rFonts w:ascii="Arial" w:eastAsiaTheme="minorEastAsia" w:hAnsi="Arial"/>
                <w:sz w:val="20"/>
                <w:szCs w:val="20"/>
              </w:rPr>
              <w:t xml:space="preserve"> </w:t>
            </w:r>
          </w:p>
          <w:p w14:paraId="0AD613DA" w14:textId="77777777" w:rsidR="009437D5" w:rsidRPr="003B66E9" w:rsidRDefault="009437D5" w:rsidP="009437D5">
            <w:pPr>
              <w:pStyle w:val="Prrafodelista"/>
              <w:numPr>
                <w:ilvl w:val="0"/>
                <w:numId w:val="3"/>
              </w:numPr>
              <w:jc w:val="both"/>
              <w:rPr>
                <w:rFonts w:ascii="Arial" w:eastAsiaTheme="minorEastAsia" w:hAnsi="Arial"/>
                <w:sz w:val="20"/>
                <w:szCs w:val="20"/>
              </w:rPr>
            </w:pPr>
            <w:r w:rsidRPr="003B66E9">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 </w:t>
            </w:r>
            <w:r>
              <w:rPr>
                <w:rFonts w:ascii="Arial" w:eastAsiaTheme="minorEastAsia" w:hAnsi="Arial"/>
                <w:sz w:val="20"/>
                <w:szCs w:val="20"/>
              </w:rPr>
              <w:t>instituciones educativas</w:t>
            </w:r>
            <w:r w:rsidRPr="003B66E9">
              <w:rPr>
                <w:rFonts w:ascii="Arial" w:eastAsiaTheme="minorEastAsia" w:hAnsi="Arial"/>
                <w:sz w:val="20"/>
                <w:szCs w:val="20"/>
              </w:rPr>
              <w:t xml:space="preserve">. </w:t>
            </w:r>
          </w:p>
          <w:p w14:paraId="51C43F74" w14:textId="77777777" w:rsidR="009437D5" w:rsidRPr="003B66E9" w:rsidRDefault="009437D5" w:rsidP="009437D5">
            <w:pPr>
              <w:pStyle w:val="Prrafodelista"/>
              <w:numPr>
                <w:ilvl w:val="0"/>
                <w:numId w:val="3"/>
              </w:numPr>
              <w:jc w:val="both"/>
              <w:rPr>
                <w:rFonts w:ascii="Arial" w:eastAsiaTheme="minorEastAsia" w:hAnsi="Arial"/>
                <w:sz w:val="20"/>
                <w:szCs w:val="20"/>
              </w:rPr>
            </w:pPr>
            <w:r w:rsidRPr="003B66E9">
              <w:rPr>
                <w:rFonts w:ascii="Arial" w:eastAsiaTheme="minorEastAsia" w:hAnsi="Arial"/>
                <w:sz w:val="20"/>
                <w:szCs w:val="20"/>
              </w:rPr>
              <w:lastRenderedPageBreak/>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instituciones educativas, públicas y privadas, de todo el país, según lo declarado y registrado por el </w:t>
            </w:r>
            <w:proofErr w:type="gramStart"/>
            <w:r>
              <w:rPr>
                <w:rFonts w:ascii="Arial" w:eastAsiaTheme="minorEastAsia" w:hAnsi="Arial"/>
                <w:sz w:val="20"/>
                <w:szCs w:val="20"/>
              </w:rPr>
              <w:t>Director</w:t>
            </w:r>
            <w:proofErr w:type="gramEnd"/>
            <w:r>
              <w:rPr>
                <w:rFonts w:ascii="Arial" w:eastAsiaTheme="minorEastAsia" w:hAnsi="Arial"/>
                <w:sz w:val="20"/>
                <w:szCs w:val="20"/>
              </w:rPr>
              <w:t xml:space="preserve"> de la institución educativa.</w:t>
            </w:r>
          </w:p>
          <w:p w14:paraId="70C313E3" w14:textId="77777777" w:rsidR="009437D5" w:rsidRPr="003B66E9" w:rsidRDefault="009437D5" w:rsidP="009437D5">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2C6CCC">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2C6CCC">
              <w:rPr>
                <w:rFonts w:ascii="Arial" w:eastAsiaTheme="minorEastAsia" w:hAnsi="Arial"/>
                <w:sz w:val="20"/>
                <w:szCs w:val="20"/>
              </w:rPr>
              <w:t xml:space="preserve"> </w:t>
            </w:r>
            <w:r w:rsidRPr="003B66E9">
              <w:rPr>
                <w:rFonts w:ascii="Arial" w:eastAsiaTheme="minorEastAsia" w:hAnsi="Arial"/>
                <w:sz w:val="20"/>
                <w:szCs w:val="20"/>
              </w:rPr>
              <w:t>de acuerdo con</w:t>
            </w:r>
            <w:r w:rsidRPr="002C6CCC">
              <w:rPr>
                <w:rFonts w:ascii="Arial" w:eastAsiaTheme="minorEastAsia" w:hAnsi="Arial"/>
                <w:sz w:val="20"/>
                <w:szCs w:val="20"/>
              </w:rPr>
              <w:t xml:space="preserve"> lo expuesto guarda la siguiente relación: A&gt;B&gt;C.</w:t>
            </w:r>
          </w:p>
          <w:p w14:paraId="06DEE800" w14:textId="77777777" w:rsidR="009437D5" w:rsidRPr="002C6CCC" w:rsidRDefault="009437D5" w:rsidP="009437D5">
            <w:pPr>
              <w:pStyle w:val="Prrafodelista"/>
              <w:autoSpaceDE w:val="0"/>
              <w:autoSpaceDN w:val="0"/>
              <w:jc w:val="both"/>
              <w:rPr>
                <w:rFonts w:ascii="Arial" w:eastAsiaTheme="minorEastAsia" w:hAnsi="Arial"/>
                <w:sz w:val="20"/>
                <w:szCs w:val="20"/>
              </w:rPr>
            </w:pPr>
            <w:r w:rsidRPr="002C6CCC">
              <w:rPr>
                <w:rFonts w:ascii="Arial" w:eastAsiaTheme="minorEastAsia" w:hAnsi="Arial"/>
                <w:sz w:val="20"/>
                <w:szCs w:val="20"/>
              </w:rPr>
              <w:t>Donde:</w:t>
            </w:r>
          </w:p>
          <w:p w14:paraId="3076F748" w14:textId="77777777" w:rsidR="009437D5" w:rsidRDefault="009437D5" w:rsidP="009437D5">
            <w:pPr>
              <w:pStyle w:val="Prrafodelista"/>
              <w:ind w:left="1068"/>
              <w:rPr>
                <w:rFonts w:ascii="Arial" w:hAnsi="Arial"/>
                <w:sz w:val="20"/>
                <w:szCs w:val="20"/>
              </w:rPr>
            </w:pPr>
          </w:p>
          <w:p w14:paraId="5EF9503C" w14:textId="77777777" w:rsidR="009437D5" w:rsidRDefault="009437D5" w:rsidP="009437D5">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1D87E7CA" w14:textId="77777777" w:rsidR="009437D5" w:rsidRDefault="009437D5" w:rsidP="009437D5">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01D3E9A2" w14:textId="77777777" w:rsidR="009437D5" w:rsidRPr="00040D30" w:rsidRDefault="009437D5" w:rsidP="009437D5">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39B696A3" w14:textId="77777777" w:rsidR="009437D5" w:rsidRPr="002C6CCC" w:rsidRDefault="009437D5" w:rsidP="009437D5">
            <w:pPr>
              <w:pStyle w:val="Prrafodelista"/>
              <w:autoSpaceDE w:val="0"/>
              <w:autoSpaceDN w:val="0"/>
              <w:jc w:val="both"/>
              <w:rPr>
                <w:rFonts w:ascii="Arial" w:eastAsiaTheme="minorEastAsia" w:hAnsi="Arial"/>
                <w:sz w:val="20"/>
                <w:szCs w:val="20"/>
              </w:rPr>
            </w:pPr>
          </w:p>
          <w:p w14:paraId="2CBDBA31" w14:textId="77777777" w:rsidR="009437D5" w:rsidRPr="00740572" w:rsidRDefault="009437D5" w:rsidP="009437D5">
            <w:pPr>
              <w:pStyle w:val="Prrafodelista"/>
              <w:numPr>
                <w:ilvl w:val="0"/>
                <w:numId w:val="2"/>
              </w:numPr>
              <w:jc w:val="both"/>
              <w:rPr>
                <w:rFonts w:ascii="Arial" w:eastAsiaTheme="minorEastAsia" w:hAnsi="Arial"/>
                <w:sz w:val="20"/>
                <w:szCs w:val="20"/>
              </w:rPr>
            </w:pPr>
            <w:r w:rsidRPr="00740572">
              <w:rPr>
                <w:rFonts w:ascii="Arial" w:eastAsiaTheme="minorEastAsia" w:hAnsi="Arial"/>
                <w:sz w:val="20"/>
                <w:szCs w:val="20"/>
              </w:rPr>
              <w:t>Se considera como año de línea base el año 20</w:t>
            </w:r>
            <w:r>
              <w:rPr>
                <w:rFonts w:ascii="Arial" w:eastAsiaTheme="minorEastAsia" w:hAnsi="Arial"/>
                <w:sz w:val="20"/>
                <w:szCs w:val="20"/>
              </w:rPr>
              <w:t>21</w:t>
            </w:r>
            <w:r w:rsidRPr="00740572">
              <w:rPr>
                <w:rFonts w:ascii="Arial" w:eastAsiaTheme="minorEastAsia" w:hAnsi="Arial"/>
                <w:sz w:val="20"/>
                <w:szCs w:val="20"/>
              </w:rPr>
              <w:t xml:space="preserve">, debido a que </w:t>
            </w:r>
            <w:r>
              <w:rPr>
                <w:rFonts w:ascii="Arial" w:eastAsiaTheme="minorEastAsia" w:hAnsi="Arial"/>
                <w:sz w:val="20"/>
                <w:szCs w:val="20"/>
              </w:rPr>
              <w:t>la primera medición se realizó en dicho año</w:t>
            </w:r>
            <w:r w:rsidRPr="00740572">
              <w:rPr>
                <w:rFonts w:ascii="Arial" w:eastAsiaTheme="minorEastAsia" w:hAnsi="Arial"/>
                <w:sz w:val="20"/>
                <w:szCs w:val="20"/>
              </w:rPr>
              <w:t>.</w:t>
            </w:r>
          </w:p>
          <w:p w14:paraId="785BAF9F" w14:textId="307B5ED3" w:rsidR="002C6B38" w:rsidRPr="00746EB6" w:rsidRDefault="002C6B38" w:rsidP="002C6B38">
            <w:pPr>
              <w:rPr>
                <w:rFonts w:ascii="Arial" w:hAnsi="Arial" w:cs="Arial"/>
                <w:sz w:val="18"/>
                <w:szCs w:val="20"/>
              </w:rPr>
            </w:pPr>
          </w:p>
        </w:tc>
      </w:tr>
      <w:tr w:rsidR="002C6B38" w:rsidRPr="00DF1A12"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Default="002C6B38" w:rsidP="002C6B38">
            <w:pPr>
              <w:rPr>
                <w:rFonts w:ascii="Arial" w:hAnsi="Arial" w:cs="Arial"/>
                <w:sz w:val="18"/>
                <w:szCs w:val="20"/>
              </w:rPr>
            </w:pPr>
            <w:r w:rsidRPr="00AB3CA7">
              <w:rPr>
                <w:rFonts w:ascii="Arial" w:hAnsi="Arial" w:cs="Arial"/>
                <w:b/>
                <w:bCs/>
                <w:szCs w:val="20"/>
              </w:rPr>
              <w:lastRenderedPageBreak/>
              <w:t>Supuestos</w:t>
            </w:r>
          </w:p>
        </w:tc>
      </w:tr>
      <w:tr w:rsidR="002C6B38" w:rsidRPr="00DF1A12"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E1A3E87" w14:textId="77777777" w:rsidR="009437D5" w:rsidRDefault="009437D5" w:rsidP="009437D5">
            <w:pPr>
              <w:pStyle w:val="Prrafodelista"/>
              <w:numPr>
                <w:ilvl w:val="0"/>
                <w:numId w:val="5"/>
              </w:numPr>
              <w:autoSpaceDE w:val="0"/>
              <w:autoSpaceDN w:val="0"/>
              <w:jc w:val="both"/>
              <w:rPr>
                <w:rFonts w:ascii="Arial" w:hAnsi="Arial"/>
                <w:sz w:val="20"/>
                <w:szCs w:val="20"/>
              </w:rPr>
            </w:pPr>
            <w:r>
              <w:rPr>
                <w:rFonts w:ascii="Arial" w:hAnsi="Arial"/>
                <w:sz w:val="20"/>
                <w:szCs w:val="20"/>
              </w:rPr>
              <w:t>Los directores de las instituciones educativas no tienen incentivo</w:t>
            </w:r>
            <w:r w:rsidRPr="00E35A37">
              <w:rPr>
                <w:rFonts w:ascii="Arial" w:hAnsi="Arial"/>
                <w:sz w:val="20"/>
                <w:szCs w:val="20"/>
              </w:rPr>
              <w:t xml:space="preserve"> para declarar en el Censo Escolar que una infraestructura que se encuentra en malas condiciones </w:t>
            </w:r>
            <w:r>
              <w:rPr>
                <w:rFonts w:ascii="Arial" w:hAnsi="Arial"/>
                <w:sz w:val="20"/>
                <w:szCs w:val="20"/>
              </w:rPr>
              <w:t>está</w:t>
            </w:r>
            <w:r w:rsidRPr="00E35A37">
              <w:rPr>
                <w:rFonts w:ascii="Arial" w:hAnsi="Arial"/>
                <w:sz w:val="20"/>
                <w:szCs w:val="20"/>
              </w:rPr>
              <w:t xml:space="preserve"> en buenas condiciones.</w:t>
            </w:r>
          </w:p>
          <w:p w14:paraId="0FDD9843" w14:textId="77777777" w:rsidR="009437D5" w:rsidRPr="00E35A37" w:rsidRDefault="009437D5" w:rsidP="009437D5">
            <w:pPr>
              <w:pStyle w:val="Prrafodelista"/>
              <w:numPr>
                <w:ilvl w:val="0"/>
                <w:numId w:val="5"/>
              </w:numPr>
              <w:autoSpaceDE w:val="0"/>
              <w:autoSpaceDN w:val="0"/>
              <w:jc w:val="both"/>
              <w:rPr>
                <w:rFonts w:ascii="Arial" w:hAnsi="Arial"/>
                <w:sz w:val="20"/>
                <w:szCs w:val="20"/>
              </w:rPr>
            </w:pPr>
            <w:r>
              <w:rPr>
                <w:rFonts w:ascii="Arial" w:hAnsi="Arial"/>
                <w:sz w:val="20"/>
                <w:szCs w:val="20"/>
              </w:rPr>
              <w:t>Los activos estratégicos comunes entre dos o más UP que se encuentran dentro de un local educativo no generan duplicidad de intervenciones o registros dentro de un inventario de activos.</w:t>
            </w:r>
          </w:p>
          <w:p w14:paraId="4327064D" w14:textId="77777777" w:rsidR="009437D5" w:rsidRPr="00B90882" w:rsidRDefault="009437D5" w:rsidP="009437D5">
            <w:pPr>
              <w:pStyle w:val="Prrafodelista"/>
              <w:numPr>
                <w:ilvl w:val="0"/>
                <w:numId w:val="5"/>
              </w:numPr>
              <w:autoSpaceDE w:val="0"/>
              <w:autoSpaceDN w:val="0"/>
              <w:jc w:val="both"/>
              <w:rPr>
                <w:rFonts w:ascii="Arial" w:hAnsi="Arial"/>
                <w:sz w:val="20"/>
                <w:szCs w:val="20"/>
              </w:rPr>
            </w:pPr>
            <w:r w:rsidRPr="00B90882">
              <w:rPr>
                <w:rFonts w:ascii="Arial" w:hAnsi="Arial"/>
                <w:sz w:val="20"/>
                <w:szCs w:val="20"/>
              </w:rPr>
              <w:t>El valor de la sumatoria del nivel de inadecuación de l</w:t>
            </w:r>
            <w:r>
              <w:rPr>
                <w:rFonts w:ascii="Arial" w:hAnsi="Arial"/>
                <w:sz w:val="20"/>
                <w:szCs w:val="20"/>
              </w:rPr>
              <w:t>as UP</w:t>
            </w:r>
            <w:r w:rsidRPr="00B90882">
              <w:rPr>
                <w:rFonts w:ascii="Arial" w:hAnsi="Arial"/>
                <w:sz w:val="20"/>
                <w:szCs w:val="20"/>
              </w:rPr>
              <w:t xml:space="preserve"> de una determinada área representa numéricamente la cantidad de </w:t>
            </w:r>
            <w:r>
              <w:rPr>
                <w:rFonts w:ascii="Arial" w:hAnsi="Arial"/>
                <w:sz w:val="20"/>
                <w:szCs w:val="20"/>
              </w:rPr>
              <w:t>UP</w:t>
            </w:r>
            <w:r w:rsidRPr="00B90882">
              <w:rPr>
                <w:rFonts w:ascii="Arial" w:hAnsi="Arial"/>
                <w:sz w:val="20"/>
                <w:szCs w:val="20"/>
              </w:rPr>
              <w:t xml:space="preserve"> que se encuentra</w:t>
            </w:r>
            <w:r>
              <w:rPr>
                <w:rFonts w:ascii="Arial" w:hAnsi="Arial"/>
                <w:sz w:val="20"/>
                <w:szCs w:val="20"/>
              </w:rPr>
              <w:t>n en estado</w:t>
            </w:r>
            <w:r w:rsidRPr="00B90882">
              <w:rPr>
                <w:rFonts w:ascii="Arial" w:hAnsi="Arial"/>
                <w:sz w:val="20"/>
                <w:szCs w:val="20"/>
              </w:rPr>
              <w:t xml:space="preserve"> inadecuado.</w:t>
            </w:r>
          </w:p>
          <w:p w14:paraId="4B298825" w14:textId="77777777" w:rsidR="009437D5" w:rsidRDefault="009437D5" w:rsidP="009437D5">
            <w:pPr>
              <w:pStyle w:val="Prrafodelista"/>
              <w:numPr>
                <w:ilvl w:val="0"/>
                <w:numId w:val="5"/>
              </w:numPr>
              <w:jc w:val="both"/>
              <w:rPr>
                <w:rFonts w:ascii="Arial" w:hAnsi="Arial"/>
                <w:sz w:val="20"/>
                <w:szCs w:val="20"/>
              </w:rPr>
            </w:pPr>
            <w:r w:rsidRPr="00AA60BE">
              <w:rPr>
                <w:rFonts w:ascii="Arial" w:hAnsi="Arial"/>
                <w:sz w:val="20"/>
                <w:szCs w:val="20"/>
              </w:rPr>
              <w:t xml:space="preserve">Un proyecto se encuentra culminado cuando </w:t>
            </w:r>
            <w:r>
              <w:rPr>
                <w:rFonts w:ascii="Arial" w:hAnsi="Arial"/>
                <w:sz w:val="20"/>
                <w:szCs w:val="20"/>
              </w:rPr>
              <w:t xml:space="preserve">se encuentra registrado como inversión culminada en el sistema del Banco de Inversiones de la </w:t>
            </w:r>
            <w:r w:rsidRPr="009A5879">
              <w:rPr>
                <w:rFonts w:ascii="Arial" w:hAnsi="Arial"/>
                <w:sz w:val="20"/>
                <w:szCs w:val="20"/>
              </w:rPr>
              <w:t xml:space="preserve">DGPMI del MEF; </w:t>
            </w:r>
            <w:r w:rsidRPr="002C6CCC">
              <w:rPr>
                <w:rFonts w:ascii="Arial" w:hAnsi="Arial"/>
                <w:sz w:val="20"/>
                <w:szCs w:val="20"/>
              </w:rPr>
              <w:t xml:space="preserve">o </w:t>
            </w:r>
            <w:r>
              <w:rPr>
                <w:rFonts w:ascii="Arial" w:hAnsi="Arial"/>
                <w:sz w:val="20"/>
                <w:szCs w:val="20"/>
              </w:rPr>
              <w:t>cuenta</w:t>
            </w:r>
            <w:r w:rsidRPr="002C6CCC">
              <w:rPr>
                <w:rFonts w:ascii="Arial" w:hAnsi="Arial"/>
                <w:sz w:val="20"/>
                <w:szCs w:val="20"/>
              </w:rPr>
              <w:t xml:space="preserve"> con el registro del Formato </w:t>
            </w:r>
            <w:proofErr w:type="spellStart"/>
            <w:r w:rsidRPr="002C6CCC">
              <w:rPr>
                <w:rFonts w:ascii="Arial" w:hAnsi="Arial"/>
                <w:sz w:val="20"/>
                <w:szCs w:val="20"/>
              </w:rPr>
              <w:t>N°</w:t>
            </w:r>
            <w:proofErr w:type="spellEnd"/>
            <w:r w:rsidRPr="002C6CCC">
              <w:rPr>
                <w:rFonts w:ascii="Arial" w:hAnsi="Arial"/>
                <w:sz w:val="20"/>
                <w:szCs w:val="20"/>
              </w:rPr>
              <w:t xml:space="preserve"> 9: Registro de Cierre de Inversión, hasta la sección B: Inversión Culminada (pendiente de liquidación física y financiera)</w:t>
            </w:r>
            <w:r w:rsidRPr="009A5879">
              <w:rPr>
                <w:rFonts w:ascii="Arial" w:hAnsi="Arial"/>
                <w:sz w:val="20"/>
                <w:szCs w:val="20"/>
              </w:rPr>
              <w:t>.</w:t>
            </w:r>
          </w:p>
          <w:p w14:paraId="1358DAEC" w14:textId="77777777" w:rsidR="009437D5" w:rsidRDefault="009437D5" w:rsidP="009437D5">
            <w:pPr>
              <w:pStyle w:val="Prrafodelista"/>
              <w:numPr>
                <w:ilvl w:val="0"/>
                <w:numId w:val="5"/>
              </w:numPr>
              <w:jc w:val="both"/>
              <w:rPr>
                <w:rFonts w:ascii="Arial" w:hAnsi="Arial"/>
                <w:sz w:val="20"/>
                <w:szCs w:val="20"/>
              </w:rPr>
            </w:pPr>
            <w:r>
              <w:rPr>
                <w:rFonts w:ascii="Arial" w:hAnsi="Arial"/>
                <w:sz w:val="20"/>
                <w:szCs w:val="20"/>
              </w:rPr>
              <w:t>Las UF y UEI realizan un registro adecuado de las inversiones en los aplicativos informáticos del Sistema Nacional de Programación Multianual y Gestión de Inversiones.</w:t>
            </w:r>
          </w:p>
          <w:p w14:paraId="52D33D4A" w14:textId="77777777" w:rsidR="009437D5" w:rsidRDefault="009437D5" w:rsidP="009437D5">
            <w:pPr>
              <w:pStyle w:val="Prrafodelista"/>
              <w:numPr>
                <w:ilvl w:val="0"/>
                <w:numId w:val="5"/>
              </w:numPr>
              <w:jc w:val="both"/>
              <w:rPr>
                <w:rFonts w:ascii="Arial" w:hAnsi="Arial"/>
                <w:sz w:val="20"/>
                <w:szCs w:val="20"/>
              </w:rPr>
            </w:pPr>
            <w:r w:rsidRPr="00DD57CA">
              <w:rPr>
                <w:rFonts w:ascii="Arial" w:hAnsi="Arial"/>
                <w:sz w:val="20"/>
                <w:szCs w:val="20"/>
              </w:rPr>
              <w:t>Las inversiones fueron formuladas</w:t>
            </w:r>
            <w:r>
              <w:rPr>
                <w:rFonts w:ascii="Arial" w:hAnsi="Arial"/>
                <w:sz w:val="20"/>
                <w:szCs w:val="20"/>
              </w:rPr>
              <w:t xml:space="preserve"> y elaboradas</w:t>
            </w:r>
            <w:r w:rsidRPr="002C6CCC">
              <w:rPr>
                <w:rFonts w:ascii="Arial" w:hAnsi="Arial"/>
                <w:sz w:val="20"/>
                <w:szCs w:val="20"/>
              </w:rPr>
              <w:t xml:space="preserve"> siguiendo la Guía General para la Identificación, Formulación y Evaluación de Proyectos de Inversión, </w:t>
            </w:r>
            <w:r>
              <w:rPr>
                <w:rFonts w:ascii="Arial" w:hAnsi="Arial"/>
                <w:sz w:val="20"/>
                <w:szCs w:val="20"/>
              </w:rPr>
              <w:t xml:space="preserve">los </w:t>
            </w:r>
            <w:r w:rsidRPr="009B2B41">
              <w:rPr>
                <w:rFonts w:ascii="Arial" w:hAnsi="Arial"/>
                <w:sz w:val="20"/>
                <w:szCs w:val="20"/>
              </w:rPr>
              <w:t>Lineamientos para la identificación y registro de las Inversiones de Optimización, de Ampliación Marginal, de Rehabilitación y de Reposición</w:t>
            </w:r>
            <w:r>
              <w:rPr>
                <w:rFonts w:ascii="Arial" w:hAnsi="Arial"/>
                <w:sz w:val="20"/>
                <w:szCs w:val="20"/>
              </w:rPr>
              <w:t xml:space="preserve"> (IOARR), </w:t>
            </w:r>
            <w:r w:rsidRPr="002C6CCC">
              <w:rPr>
                <w:rFonts w:ascii="Arial" w:hAnsi="Arial"/>
                <w:sz w:val="20"/>
                <w:szCs w:val="20"/>
              </w:rPr>
              <w:t>así como las normas técnicas del Sector Educación</w:t>
            </w:r>
            <w:r>
              <w:rPr>
                <w:rFonts w:ascii="Arial" w:hAnsi="Arial"/>
                <w:sz w:val="20"/>
                <w:szCs w:val="20"/>
              </w:rPr>
              <w:t xml:space="preserve"> y el Reglamento Nacional de Edificaciones.</w:t>
            </w:r>
          </w:p>
          <w:p w14:paraId="0CE32A82" w14:textId="77777777" w:rsidR="009437D5" w:rsidRDefault="009437D5" w:rsidP="009437D5">
            <w:pPr>
              <w:pStyle w:val="Prrafodelista"/>
              <w:numPr>
                <w:ilvl w:val="0"/>
                <w:numId w:val="5"/>
              </w:numPr>
              <w:jc w:val="both"/>
              <w:rPr>
                <w:rFonts w:ascii="Arial" w:hAnsi="Arial"/>
                <w:sz w:val="20"/>
                <w:szCs w:val="20"/>
              </w:rPr>
            </w:pPr>
            <w:r>
              <w:rPr>
                <w:rFonts w:ascii="Arial" w:hAnsi="Arial"/>
                <w:sz w:val="20"/>
                <w:szCs w:val="20"/>
              </w:rPr>
              <w:t>Para efectos del cálculo del valor del indicador, se considera que ninguna IOARR es una intervención integral en la UP.</w:t>
            </w:r>
          </w:p>
          <w:p w14:paraId="53FF7498" w14:textId="64B6F214" w:rsidR="002C6B38" w:rsidRDefault="002C6B38" w:rsidP="002C6B38">
            <w:pPr>
              <w:rPr>
                <w:rFonts w:ascii="Arial" w:hAnsi="Arial" w:cs="Arial"/>
                <w:sz w:val="18"/>
                <w:szCs w:val="20"/>
              </w:rPr>
            </w:pPr>
          </w:p>
        </w:tc>
      </w:tr>
      <w:tr w:rsidR="002C6B38" w:rsidRPr="00DF1A12"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5070196D" w:rsidR="002C6B38" w:rsidRDefault="00665CFC" w:rsidP="00665CFC">
            <w:pPr>
              <w:rPr>
                <w:rFonts w:ascii="Arial" w:hAnsi="Arial" w:cs="Arial"/>
                <w:sz w:val="18"/>
                <w:szCs w:val="20"/>
              </w:rPr>
            </w:pPr>
            <w:r>
              <w:rPr>
                <w:rFonts w:ascii="Arial" w:hAnsi="Arial" w:cs="Arial"/>
                <w:b/>
                <w:bCs/>
                <w:szCs w:val="20"/>
              </w:rPr>
              <w:t>Limitaciones</w:t>
            </w:r>
          </w:p>
        </w:tc>
      </w:tr>
      <w:tr w:rsidR="002C6B38" w:rsidRPr="00DF1A12"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D724764" w14:textId="12F847F3" w:rsidR="009437D5" w:rsidRDefault="009437D5" w:rsidP="009437D5">
            <w:pPr>
              <w:pStyle w:val="Prrafodelista"/>
              <w:numPr>
                <w:ilvl w:val="0"/>
                <w:numId w:val="6"/>
              </w:numPr>
              <w:autoSpaceDE w:val="0"/>
              <w:autoSpaceDN w:val="0"/>
              <w:jc w:val="both"/>
              <w:rPr>
                <w:rFonts w:ascii="Arial" w:hAnsi="Arial"/>
                <w:sz w:val="20"/>
                <w:szCs w:val="20"/>
              </w:rPr>
            </w:pPr>
            <w:r w:rsidRPr="00E35A37">
              <w:rPr>
                <w:rFonts w:ascii="Arial" w:hAnsi="Arial"/>
                <w:sz w:val="20"/>
                <w:szCs w:val="20"/>
              </w:rPr>
              <w:t xml:space="preserve">Los directores </w:t>
            </w:r>
            <w:r>
              <w:rPr>
                <w:rFonts w:ascii="Arial" w:hAnsi="Arial"/>
                <w:sz w:val="20"/>
                <w:szCs w:val="20"/>
              </w:rPr>
              <w:t xml:space="preserve">de las instituciones educativas y los servidores públicos de los Gobiernos Regionales y Locales </w:t>
            </w:r>
            <w:r w:rsidRPr="00E35A37">
              <w:rPr>
                <w:rFonts w:ascii="Arial" w:hAnsi="Arial"/>
                <w:sz w:val="20"/>
                <w:szCs w:val="20"/>
              </w:rPr>
              <w:t xml:space="preserve">no cuentan con herramientas para diagnosticar técnicamente si la infraestructura se encuentra en buenas </w:t>
            </w:r>
            <w:r>
              <w:rPr>
                <w:rFonts w:ascii="Arial" w:hAnsi="Arial"/>
                <w:sz w:val="20"/>
                <w:szCs w:val="20"/>
              </w:rPr>
              <w:t xml:space="preserve">o malas </w:t>
            </w:r>
            <w:r w:rsidRPr="00E35A37">
              <w:rPr>
                <w:rFonts w:ascii="Arial" w:hAnsi="Arial"/>
                <w:sz w:val="20"/>
                <w:szCs w:val="20"/>
              </w:rPr>
              <w:t>condiciones, ya que el reporte se bas</w:t>
            </w:r>
            <w:r>
              <w:rPr>
                <w:rFonts w:ascii="Arial" w:hAnsi="Arial"/>
                <w:sz w:val="20"/>
                <w:szCs w:val="20"/>
              </w:rPr>
              <w:t>a en</w:t>
            </w:r>
            <w:r w:rsidRPr="00E35A37">
              <w:rPr>
                <w:rFonts w:ascii="Arial" w:hAnsi="Arial"/>
                <w:sz w:val="20"/>
                <w:szCs w:val="20"/>
              </w:rPr>
              <w:t xml:space="preserve"> un diagnóstico visual de los ambientes del local educativo</w:t>
            </w:r>
            <w:r>
              <w:rPr>
                <w:rFonts w:ascii="Arial" w:hAnsi="Arial"/>
                <w:sz w:val="20"/>
                <w:szCs w:val="20"/>
              </w:rPr>
              <w:t xml:space="preserve"> o información secundaria</w:t>
            </w:r>
            <w:r w:rsidRPr="00E35A37">
              <w:rPr>
                <w:rFonts w:ascii="Arial" w:hAnsi="Arial"/>
                <w:sz w:val="20"/>
                <w:szCs w:val="20"/>
              </w:rPr>
              <w:t>. Esta limitación es solo aplicable para l</w:t>
            </w:r>
            <w:r>
              <w:rPr>
                <w:rFonts w:ascii="Arial" w:hAnsi="Arial"/>
                <w:sz w:val="20"/>
                <w:szCs w:val="20"/>
              </w:rPr>
              <w:t>as UP cuyo estado se determine en base al</w:t>
            </w:r>
            <w:r w:rsidRPr="00E35A37">
              <w:rPr>
                <w:rFonts w:ascii="Arial" w:hAnsi="Arial"/>
                <w:sz w:val="20"/>
                <w:szCs w:val="20"/>
              </w:rPr>
              <w:t xml:space="preserve"> </w:t>
            </w:r>
            <w:r>
              <w:rPr>
                <w:rFonts w:ascii="Arial" w:hAnsi="Arial"/>
                <w:sz w:val="20"/>
                <w:szCs w:val="20"/>
              </w:rPr>
              <w:t>C</w:t>
            </w:r>
            <w:r w:rsidRPr="00E35A37">
              <w:rPr>
                <w:rFonts w:ascii="Arial" w:hAnsi="Arial"/>
                <w:sz w:val="20"/>
                <w:szCs w:val="20"/>
              </w:rPr>
              <w:t xml:space="preserve">enso </w:t>
            </w:r>
            <w:r>
              <w:rPr>
                <w:rFonts w:ascii="Arial" w:hAnsi="Arial"/>
                <w:sz w:val="20"/>
                <w:szCs w:val="20"/>
              </w:rPr>
              <w:t>E</w:t>
            </w:r>
            <w:r w:rsidRPr="00E35A37">
              <w:rPr>
                <w:rFonts w:ascii="Arial" w:hAnsi="Arial"/>
                <w:sz w:val="20"/>
                <w:szCs w:val="20"/>
              </w:rPr>
              <w:t>scolar</w:t>
            </w:r>
            <w:r>
              <w:rPr>
                <w:rFonts w:ascii="Arial" w:hAnsi="Arial"/>
                <w:sz w:val="20"/>
                <w:szCs w:val="20"/>
              </w:rPr>
              <w:t xml:space="preserve"> y al Plan Nacional de Infraestructura Educativa</w:t>
            </w:r>
            <w:r w:rsidRPr="00E35A37">
              <w:rPr>
                <w:rFonts w:ascii="Arial" w:hAnsi="Arial"/>
                <w:sz w:val="20"/>
                <w:szCs w:val="20"/>
              </w:rPr>
              <w:t>.</w:t>
            </w:r>
            <w:r>
              <w:rPr>
                <w:rFonts w:ascii="Arial" w:hAnsi="Arial"/>
                <w:sz w:val="20"/>
                <w:szCs w:val="20"/>
              </w:rPr>
              <w:t xml:space="preserve"> Por este motivo, cuando se cuente con información asociada a los aplicativos informáticos del Sistema Nacional de Programación Multianual y Gestión de Inversiones, esta se priorizará respecto de la del Censo Escolar y la del Plan Nacional de Infraestructura Educativa dado que es registrada por las Unidades Formuladoras (UF) y Unidades Ejecutoras de Inversiones (UEI), las cuales realizan un diagnóstico técnico de las UP para determinar sus necesidades</w:t>
            </w:r>
            <w:r w:rsidRPr="003261F7">
              <w:rPr>
                <w:rFonts w:ascii="Arial" w:hAnsi="Arial"/>
                <w:sz w:val="20"/>
                <w:szCs w:val="20"/>
              </w:rPr>
              <w:t>.</w:t>
            </w:r>
          </w:p>
          <w:p w14:paraId="6429A49D" w14:textId="77777777" w:rsidR="009437D5" w:rsidRDefault="009437D5" w:rsidP="009437D5">
            <w:pPr>
              <w:pStyle w:val="Prrafodelista"/>
              <w:numPr>
                <w:ilvl w:val="0"/>
                <w:numId w:val="6"/>
              </w:numPr>
              <w:autoSpaceDE w:val="0"/>
              <w:autoSpaceDN w:val="0"/>
              <w:jc w:val="both"/>
              <w:rPr>
                <w:rFonts w:ascii="Arial" w:hAnsi="Arial"/>
                <w:sz w:val="20"/>
                <w:szCs w:val="20"/>
              </w:rPr>
            </w:pPr>
            <w:r>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2C9CFA58" w14:textId="77777777" w:rsidR="009437D5" w:rsidRPr="00D858E9" w:rsidRDefault="009437D5" w:rsidP="009437D5">
            <w:pPr>
              <w:pStyle w:val="Prrafodelista"/>
              <w:numPr>
                <w:ilvl w:val="0"/>
                <w:numId w:val="6"/>
              </w:numPr>
              <w:autoSpaceDE w:val="0"/>
              <w:autoSpaceDN w:val="0"/>
              <w:jc w:val="both"/>
              <w:rPr>
                <w:rFonts w:ascii="Arial" w:hAnsi="Arial"/>
                <w:sz w:val="20"/>
                <w:szCs w:val="20"/>
              </w:rPr>
            </w:pPr>
            <w:r>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Default="002C6B38" w:rsidP="002C6B38">
            <w:pPr>
              <w:rPr>
                <w:rFonts w:ascii="Arial" w:hAnsi="Arial" w:cs="Arial"/>
                <w:sz w:val="18"/>
                <w:szCs w:val="20"/>
              </w:rPr>
            </w:pPr>
          </w:p>
        </w:tc>
      </w:tr>
      <w:tr w:rsidR="002C6B38" w:rsidRPr="00DF1A12"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Default="002C6B38" w:rsidP="002C6B38">
            <w:pPr>
              <w:rPr>
                <w:rFonts w:ascii="Arial" w:hAnsi="Arial" w:cs="Arial"/>
                <w:sz w:val="18"/>
                <w:szCs w:val="20"/>
              </w:rPr>
            </w:pPr>
            <w:r w:rsidRPr="00791B39">
              <w:rPr>
                <w:rFonts w:ascii="Arial" w:hAnsi="Arial" w:cs="Arial"/>
                <w:b/>
                <w:bCs/>
              </w:rPr>
              <w:t>Fuente de Datos</w:t>
            </w:r>
          </w:p>
        </w:tc>
      </w:tr>
      <w:tr w:rsidR="002C6B38" w:rsidRPr="00DF1A12"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818BC29" w14:textId="77777777" w:rsidR="009437D5" w:rsidRPr="00040D30" w:rsidRDefault="009437D5" w:rsidP="009437D5">
            <w:pPr>
              <w:spacing w:before="240" w:after="120"/>
              <w:jc w:val="both"/>
              <w:rPr>
                <w:rFonts w:ascii="Arial" w:hAnsi="Arial"/>
                <w:sz w:val="20"/>
                <w:szCs w:val="20"/>
                <w:lang w:val="es-MX"/>
              </w:rPr>
            </w:pPr>
            <w:r w:rsidRPr="00040D30">
              <w:rPr>
                <w:rFonts w:ascii="Arial" w:hAnsi="Arial"/>
                <w:sz w:val="20"/>
                <w:szCs w:val="20"/>
                <w:lang w:val="es-MX"/>
              </w:rPr>
              <w:lastRenderedPageBreak/>
              <w:t>Responsables de información:</w:t>
            </w:r>
          </w:p>
          <w:p w14:paraId="47F74809" w14:textId="77777777" w:rsidR="009437D5" w:rsidRDefault="009437D5" w:rsidP="009437D5">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 xml:space="preserve">Unidad de Programación e Inversiones, a través del seguimiento </w:t>
            </w:r>
            <w:proofErr w:type="gramStart"/>
            <w:r>
              <w:rPr>
                <w:rFonts w:ascii="Arial" w:hAnsi="Arial"/>
                <w:sz w:val="20"/>
                <w:szCs w:val="20"/>
                <w:lang w:val="es-MX"/>
              </w:rPr>
              <w:t>del  avance</w:t>
            </w:r>
            <w:proofErr w:type="gramEnd"/>
            <w:r>
              <w:rPr>
                <w:rFonts w:ascii="Arial" w:hAnsi="Arial"/>
                <w:sz w:val="20"/>
                <w:szCs w:val="20"/>
                <w:lang w:val="es-MX"/>
              </w:rPr>
              <w:t xml:space="preserve"> de la ejecución de las inversiones que realiza en apoyo al Órgano Resolutivo del Sector.</w:t>
            </w:r>
          </w:p>
          <w:p w14:paraId="7493649F" w14:textId="77777777" w:rsidR="009437D5" w:rsidRPr="002C6CCC" w:rsidRDefault="009437D5" w:rsidP="009437D5">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2C6CCC">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5588226B" w14:textId="77777777" w:rsidR="009437D5" w:rsidRPr="00040D30" w:rsidRDefault="009437D5" w:rsidP="009437D5">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a través del monitoreo de la implementación del Plan Nacional de Infraestructura Educativa.</w:t>
            </w:r>
          </w:p>
          <w:p w14:paraId="629D4A0C" w14:textId="77777777" w:rsidR="009437D5" w:rsidRPr="00040D30" w:rsidRDefault="009437D5" w:rsidP="009437D5">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472E8CC5" w14:textId="77777777" w:rsidR="009437D5" w:rsidRPr="00040D30" w:rsidRDefault="009437D5" w:rsidP="009437D5">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5FDB364F" w14:textId="77777777" w:rsidR="009437D5" w:rsidRPr="00040D30" w:rsidRDefault="009437D5" w:rsidP="009437D5">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77BF5F3F" w14:textId="77777777" w:rsidR="009437D5" w:rsidRPr="00040D30" w:rsidRDefault="009437D5" w:rsidP="009437D5">
            <w:pPr>
              <w:pStyle w:val="Prrafodelista"/>
              <w:spacing w:before="240" w:after="120"/>
              <w:ind w:left="1068"/>
              <w:jc w:val="both"/>
              <w:rPr>
                <w:rFonts w:ascii="Arial" w:hAnsi="Arial"/>
                <w:sz w:val="20"/>
                <w:szCs w:val="20"/>
              </w:rPr>
            </w:pPr>
          </w:p>
          <w:p w14:paraId="28B61996" w14:textId="725156EA" w:rsidR="002C6B38" w:rsidRPr="009437D5" w:rsidRDefault="009437D5" w:rsidP="009437D5">
            <w:pPr>
              <w:spacing w:before="240" w:after="120"/>
              <w:jc w:val="both"/>
              <w:rPr>
                <w:rFonts w:ascii="Arial" w:hAnsi="Arial"/>
                <w:sz w:val="20"/>
                <w:szCs w:val="20"/>
                <w:lang w:val="es-MX"/>
              </w:rPr>
            </w:pPr>
            <w:r w:rsidRPr="00040D30">
              <w:rPr>
                <w:rFonts w:ascii="Arial" w:hAnsi="Arial"/>
                <w:sz w:val="20"/>
                <w:szCs w:val="20"/>
              </w:rPr>
              <w:t>La medición de las brechas para la Programación Multianual de Inversiones se realizará cada año con las bases de datos más actualizadas</w:t>
            </w:r>
            <w:r w:rsidRPr="00040D30">
              <w:rPr>
                <w:rFonts w:ascii="Arial" w:hAnsi="Arial"/>
                <w:sz w:val="20"/>
                <w:szCs w:val="20"/>
                <w:lang w:val="es-MX"/>
              </w:rPr>
              <w:t>.</w:t>
            </w:r>
          </w:p>
        </w:tc>
      </w:tr>
      <w:tr w:rsidR="002C6B38" w:rsidRPr="00DF1A12"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Default="002C6B38" w:rsidP="002C6B38">
            <w:pPr>
              <w:rPr>
                <w:rFonts w:ascii="Arial" w:hAnsi="Arial" w:cs="Arial"/>
                <w:sz w:val="18"/>
                <w:szCs w:val="20"/>
              </w:rPr>
            </w:pPr>
            <w:r w:rsidRPr="00AB3CA7">
              <w:rPr>
                <w:rFonts w:ascii="Arial" w:hAnsi="Arial" w:cs="Arial"/>
                <w:b/>
                <w:bCs/>
                <w:szCs w:val="20"/>
              </w:rPr>
              <w:t>Instrumento de Recolección de Información</w:t>
            </w:r>
          </w:p>
        </w:tc>
      </w:tr>
      <w:tr w:rsidR="002C6B38" w:rsidRPr="00DF1A12"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9A8648" w14:textId="77777777" w:rsidR="009437D5" w:rsidRDefault="009437D5" w:rsidP="009437D5">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461E6900" w14:textId="77777777" w:rsidR="009437D5" w:rsidRPr="002C6CCC" w:rsidRDefault="009437D5" w:rsidP="009437D5">
            <w:pPr>
              <w:pStyle w:val="Prrafodelista"/>
              <w:spacing w:before="240" w:after="120"/>
              <w:ind w:left="1068"/>
              <w:jc w:val="both"/>
              <w:rPr>
                <w:rFonts w:ascii="Arial" w:hAnsi="Arial"/>
                <w:sz w:val="20"/>
                <w:szCs w:val="20"/>
              </w:rPr>
            </w:pPr>
          </w:p>
          <w:p w14:paraId="17AEED9C" w14:textId="77777777" w:rsidR="009437D5" w:rsidRPr="002C6CCC" w:rsidRDefault="009437D5" w:rsidP="009437D5">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2CDE2D86" w14:textId="77777777" w:rsidR="009437D5" w:rsidRPr="002C6CCC" w:rsidRDefault="009437D5" w:rsidP="009437D5">
            <w:pPr>
              <w:pStyle w:val="Prrafodelista"/>
              <w:spacing w:before="240" w:after="120"/>
              <w:ind w:left="1068"/>
              <w:jc w:val="both"/>
              <w:rPr>
                <w:rFonts w:ascii="Arial" w:hAnsi="Arial"/>
                <w:sz w:val="20"/>
                <w:szCs w:val="20"/>
              </w:rPr>
            </w:pPr>
          </w:p>
          <w:p w14:paraId="3344E65F" w14:textId="3866FC24" w:rsidR="002C6B38" w:rsidRPr="009437D5" w:rsidRDefault="009437D5" w:rsidP="009437D5">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es realizado todos los años mediante la aplicación de fichas y el sistema de recojo de información.</w:t>
            </w:r>
          </w:p>
        </w:tc>
      </w:tr>
      <w:bookmarkEnd w:id="0"/>
      <w:bookmarkEnd w:id="1"/>
    </w:tbl>
    <w:p w14:paraId="615CBBEE" w14:textId="1C7D0672" w:rsidR="00076082" w:rsidRPr="00020DDF" w:rsidRDefault="00076082" w:rsidP="009F6EE7">
      <w:pPr>
        <w:spacing w:after="120" w:line="240" w:lineRule="auto"/>
        <w:jc w:val="both"/>
        <w:rPr>
          <w:sz w:val="18"/>
        </w:rPr>
      </w:pPr>
    </w:p>
    <w:sectPr w:rsidR="00076082" w:rsidRPr="00020DDF"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C822" w14:textId="77777777" w:rsidR="00732B38" w:rsidRDefault="00732B38" w:rsidP="00020DDF">
      <w:pPr>
        <w:spacing w:after="0" w:line="240" w:lineRule="auto"/>
      </w:pPr>
      <w:r>
        <w:separator/>
      </w:r>
    </w:p>
  </w:endnote>
  <w:endnote w:type="continuationSeparator" w:id="0">
    <w:p w14:paraId="7AB29187" w14:textId="77777777" w:rsidR="00732B38" w:rsidRDefault="00732B38"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D924" w14:textId="77777777" w:rsidR="00732B38" w:rsidRDefault="00732B38" w:rsidP="00020DDF">
      <w:pPr>
        <w:spacing w:after="0" w:line="240" w:lineRule="auto"/>
      </w:pPr>
      <w:r>
        <w:separator/>
      </w:r>
    </w:p>
  </w:footnote>
  <w:footnote w:type="continuationSeparator" w:id="0">
    <w:p w14:paraId="510CF843" w14:textId="77777777" w:rsidR="00732B38" w:rsidRDefault="00732B38" w:rsidP="00020DDF">
      <w:pPr>
        <w:spacing w:after="0" w:line="240" w:lineRule="auto"/>
      </w:pPr>
      <w:r>
        <w:continuationSeparator/>
      </w:r>
    </w:p>
  </w:footnote>
  <w:footnote w:id="1">
    <w:p w14:paraId="32460337" w14:textId="77777777" w:rsidR="00B47531" w:rsidRPr="001D3063" w:rsidRDefault="00B47531" w:rsidP="009437D5">
      <w:pPr>
        <w:pStyle w:val="Textonotapie"/>
        <w:jc w:val="both"/>
        <w:rPr>
          <w:rFonts w:ascii="Arial" w:hAnsi="Arial"/>
          <w:sz w:val="16"/>
          <w:szCs w:val="16"/>
          <w:lang w:val="es-PE"/>
        </w:rPr>
      </w:pPr>
      <w:r w:rsidRPr="00222E48">
        <w:rPr>
          <w:rStyle w:val="Refdenotaalpie"/>
          <w:rFonts w:ascii="Arial" w:hAnsi="Arial"/>
          <w:sz w:val="16"/>
          <w:szCs w:val="16"/>
        </w:rPr>
        <w:footnoteRef/>
      </w:r>
      <w:r w:rsidRPr="00222E48">
        <w:rPr>
          <w:rFonts w:ascii="Arial" w:hAnsi="Arial"/>
          <w:sz w:val="16"/>
          <w:szCs w:val="16"/>
        </w:rPr>
        <w:t xml:space="preserve"> Párrafo 13 del artículo 5 de la Directiva </w:t>
      </w:r>
      <w:proofErr w:type="spellStart"/>
      <w:r w:rsidRPr="00222E48">
        <w:rPr>
          <w:rFonts w:ascii="Arial" w:hAnsi="Arial"/>
          <w:sz w:val="16"/>
          <w:szCs w:val="16"/>
        </w:rPr>
        <w:t>N°</w:t>
      </w:r>
      <w:proofErr w:type="spellEnd"/>
      <w:r w:rsidRPr="00222E48">
        <w:rPr>
          <w:rFonts w:ascii="Arial" w:hAnsi="Arial"/>
          <w:sz w:val="16"/>
          <w:szCs w:val="16"/>
        </w:rPr>
        <w:t xml:space="preserve"> 001-2019-EF/63.01, Directiva General del Sistema de Programación Multianual y Gestión de Inversiones aprobado por Resolución Directoral </w:t>
      </w:r>
      <w:proofErr w:type="spellStart"/>
      <w:r w:rsidRPr="00222E48">
        <w:rPr>
          <w:rFonts w:ascii="Arial" w:hAnsi="Arial"/>
          <w:sz w:val="16"/>
          <w:szCs w:val="16"/>
        </w:rPr>
        <w:t>N°</w:t>
      </w:r>
      <w:proofErr w:type="spellEnd"/>
      <w:r w:rsidRPr="00222E48">
        <w:rPr>
          <w:rFonts w:ascii="Arial" w:hAnsi="Arial"/>
          <w:sz w:val="16"/>
          <w:szCs w:val="16"/>
        </w:rPr>
        <w:t xml:space="preserve"> 001-2019-EF/63.01 y sus modificatorias.</w:t>
      </w:r>
    </w:p>
  </w:footnote>
  <w:footnote w:id="2">
    <w:p w14:paraId="42F6127F" w14:textId="77777777" w:rsidR="00B47531" w:rsidRPr="00222E48" w:rsidRDefault="00B47531" w:rsidP="009437D5">
      <w:pPr>
        <w:pStyle w:val="Textonotapie"/>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Se debe tener en cuenta que dentro de un local educativo pueden funcionar una o más unidades productoras, las cuales pueden brindar diferentes servicios.</w:t>
      </w:r>
    </w:p>
  </w:footnote>
  <w:footnote w:id="3">
    <w:p w14:paraId="753070D8" w14:textId="77777777" w:rsidR="00B47531" w:rsidRPr="00CA3715" w:rsidRDefault="00B47531" w:rsidP="009437D5">
      <w:pPr>
        <w:pStyle w:val="Textonotapie"/>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Artículo 6 de la norma técnica "Criterios Generales de Diseño para Infraestructura Educativa", aprobada mediante Resolución Viceministerial </w:t>
      </w:r>
      <w:proofErr w:type="spellStart"/>
      <w:r w:rsidRPr="00222E48">
        <w:rPr>
          <w:rFonts w:ascii="Arial" w:hAnsi="Arial"/>
          <w:sz w:val="16"/>
          <w:szCs w:val="16"/>
        </w:rPr>
        <w:t>N°</w:t>
      </w:r>
      <w:proofErr w:type="spellEnd"/>
      <w:r w:rsidRPr="00222E48">
        <w:rPr>
          <w:rFonts w:ascii="Arial" w:hAnsi="Arial"/>
          <w:sz w:val="16"/>
          <w:szCs w:val="16"/>
        </w:rPr>
        <w:t xml:space="preserve"> 010-2022-MINEDU.</w:t>
      </w:r>
    </w:p>
  </w:footnote>
  <w:footnote w:id="4">
    <w:p w14:paraId="5E65FF16" w14:textId="77777777" w:rsidR="00B47531" w:rsidRPr="001D3063" w:rsidRDefault="00B47531" w:rsidP="009437D5">
      <w:pPr>
        <w:pStyle w:val="Textonotapie"/>
        <w:rPr>
          <w:rFonts w:ascii="Arial" w:hAnsi="Arial"/>
          <w:sz w:val="16"/>
          <w:szCs w:val="16"/>
          <w:lang w:val="es-PE"/>
        </w:rPr>
      </w:pPr>
      <w:r>
        <w:rPr>
          <w:rStyle w:val="Refdenotaalpie"/>
        </w:rPr>
        <w:footnoteRef/>
      </w:r>
      <w:r>
        <w:t xml:space="preserve"> </w:t>
      </w:r>
      <w:r w:rsidRPr="001D3063">
        <w:rPr>
          <w:rFonts w:ascii="Arial" w:hAnsi="Arial"/>
          <w:sz w:val="16"/>
          <w:szCs w:val="16"/>
          <w:lang w:val="es-PE"/>
        </w:rPr>
        <w:t xml:space="preserve">Artículo 48 del Reglamento de la Ley </w:t>
      </w:r>
      <w:proofErr w:type="spellStart"/>
      <w:r w:rsidRPr="001D3063">
        <w:rPr>
          <w:rFonts w:ascii="Arial" w:hAnsi="Arial"/>
          <w:sz w:val="16"/>
          <w:szCs w:val="16"/>
          <w:lang w:val="es-PE"/>
        </w:rPr>
        <w:t>N°</w:t>
      </w:r>
      <w:proofErr w:type="spellEnd"/>
      <w:r w:rsidRPr="001D3063">
        <w:rPr>
          <w:rFonts w:ascii="Arial" w:hAnsi="Arial"/>
          <w:sz w:val="16"/>
          <w:szCs w:val="16"/>
          <w:lang w:val="es-PE"/>
        </w:rPr>
        <w:t xml:space="preserve"> 28044, Ley General de Educación, aprobado por Decreto Supremo </w:t>
      </w:r>
      <w:proofErr w:type="spellStart"/>
      <w:r w:rsidRPr="001D3063">
        <w:rPr>
          <w:rFonts w:ascii="Arial" w:hAnsi="Arial"/>
          <w:sz w:val="16"/>
          <w:szCs w:val="16"/>
          <w:lang w:val="es-PE"/>
        </w:rPr>
        <w:t>N°</w:t>
      </w:r>
      <w:proofErr w:type="spellEnd"/>
      <w:r w:rsidRPr="001D3063">
        <w:rPr>
          <w:rFonts w:ascii="Arial" w:hAnsi="Arial"/>
          <w:sz w:val="16"/>
          <w:szCs w:val="16"/>
          <w:lang w:val="es-PE"/>
        </w:rPr>
        <w:t xml:space="preserve"> 011-2012-</w:t>
      </w:r>
      <w:proofErr w:type="gramStart"/>
      <w:r w:rsidRPr="001D3063">
        <w:rPr>
          <w:rFonts w:ascii="Arial" w:hAnsi="Arial"/>
          <w:sz w:val="16"/>
          <w:szCs w:val="16"/>
          <w:lang w:val="es-PE"/>
        </w:rPr>
        <w:t>ED  y</w:t>
      </w:r>
      <w:proofErr w:type="gramEnd"/>
      <w:r w:rsidRPr="001D3063">
        <w:rPr>
          <w:rFonts w:ascii="Arial" w:hAnsi="Arial"/>
          <w:sz w:val="16"/>
          <w:szCs w:val="16"/>
          <w:lang w:val="es-PE"/>
        </w:rPr>
        <w:t xml:space="preserve"> sus modificatorias.</w:t>
      </w:r>
    </w:p>
  </w:footnote>
  <w:footnote w:id="5">
    <w:p w14:paraId="01EBE48A" w14:textId="143C0BD1" w:rsidR="00B47531" w:rsidRPr="001D3063" w:rsidRDefault="00B47531" w:rsidP="009437D5">
      <w:pPr>
        <w:pStyle w:val="Textonotapie"/>
        <w:rPr>
          <w:lang w:val="es-PE"/>
        </w:rPr>
      </w:pPr>
      <w:r>
        <w:rPr>
          <w:rStyle w:val="Refdenotaalpie"/>
        </w:rPr>
        <w:footnoteRef/>
      </w:r>
      <w:r>
        <w:t xml:space="preserve"> </w:t>
      </w:r>
      <w:r w:rsidRPr="001C07BF">
        <w:rPr>
          <w:rFonts w:ascii="Arial" w:hAnsi="Arial"/>
          <w:sz w:val="16"/>
          <w:szCs w:val="16"/>
          <w:lang w:val="es-PE"/>
        </w:rPr>
        <w:t xml:space="preserve">Artículo 48 del Reglamento de la Ley </w:t>
      </w:r>
      <w:proofErr w:type="spellStart"/>
      <w:r w:rsidRPr="001C07BF">
        <w:rPr>
          <w:rFonts w:ascii="Arial" w:hAnsi="Arial"/>
          <w:sz w:val="16"/>
          <w:szCs w:val="16"/>
          <w:lang w:val="es-PE"/>
        </w:rPr>
        <w:t>N°</w:t>
      </w:r>
      <w:proofErr w:type="spellEnd"/>
      <w:r w:rsidRPr="001C07BF">
        <w:rPr>
          <w:rFonts w:ascii="Arial" w:hAnsi="Arial"/>
          <w:sz w:val="16"/>
          <w:szCs w:val="16"/>
          <w:lang w:val="es-PE"/>
        </w:rPr>
        <w:t xml:space="preserve"> 28044, Ley General de Educación, aprobado por Decreto Supremo </w:t>
      </w:r>
      <w:proofErr w:type="spellStart"/>
      <w:r w:rsidRPr="001C07BF">
        <w:rPr>
          <w:rFonts w:ascii="Arial" w:hAnsi="Arial"/>
          <w:sz w:val="16"/>
          <w:szCs w:val="16"/>
          <w:lang w:val="es-PE"/>
        </w:rPr>
        <w:t>N°</w:t>
      </w:r>
      <w:proofErr w:type="spellEnd"/>
      <w:r w:rsidRPr="001C07BF">
        <w:rPr>
          <w:rFonts w:ascii="Arial" w:hAnsi="Arial"/>
          <w:sz w:val="16"/>
          <w:szCs w:val="16"/>
          <w:lang w:val="es-PE"/>
        </w:rPr>
        <w:t xml:space="preserve"> 011-2012-</w:t>
      </w:r>
      <w:proofErr w:type="gramStart"/>
      <w:r w:rsidRPr="001C07BF">
        <w:rPr>
          <w:rFonts w:ascii="Arial" w:hAnsi="Arial"/>
          <w:sz w:val="16"/>
          <w:szCs w:val="16"/>
          <w:lang w:val="es-PE"/>
        </w:rPr>
        <w:t>ED  y</w:t>
      </w:r>
      <w:proofErr w:type="gramEnd"/>
      <w:r w:rsidRPr="001C07BF">
        <w:rPr>
          <w:rFonts w:ascii="Arial" w:hAnsi="Arial"/>
          <w:sz w:val="16"/>
          <w:szCs w:val="16"/>
          <w:lang w:val="es-PE"/>
        </w:rPr>
        <w:t xml:space="preserve"> sus modificatorias.</w:t>
      </w:r>
    </w:p>
  </w:footnote>
  <w:footnote w:id="6">
    <w:p w14:paraId="059CC584" w14:textId="77777777" w:rsidR="00B47531" w:rsidRPr="002C6CCC" w:rsidRDefault="00B47531" w:rsidP="009437D5">
      <w:pPr>
        <w:pStyle w:val="Textonotapie"/>
        <w:jc w:val="both"/>
        <w:rPr>
          <w:lang w:val="es-PE"/>
        </w:rPr>
      </w:pPr>
      <w:r>
        <w:rPr>
          <w:rStyle w:val="Refdenotaalpie"/>
        </w:rPr>
        <w:footnoteRef/>
      </w:r>
      <w:r>
        <w:t xml:space="preserve"> </w:t>
      </w:r>
      <w:r w:rsidRPr="002C6CCC">
        <w:rPr>
          <w:rFonts w:ascii="Arial" w:hAnsi="Arial"/>
          <w:sz w:val="16"/>
          <w:szCs w:val="16"/>
          <w:lang w:val="es-PE"/>
        </w:rPr>
        <w:t xml:space="preserve">La base datos fue construida mediante la aplicación del documento denominado “Criterios que Permiten Estimar el Estado de las Unidades Productoras del Sector Educación en el marco del Invierte.pe” el cual forma parte del Informe </w:t>
      </w:r>
      <w:proofErr w:type="spellStart"/>
      <w:r w:rsidRPr="002C6CCC">
        <w:rPr>
          <w:rFonts w:ascii="Arial" w:hAnsi="Arial"/>
          <w:sz w:val="16"/>
          <w:szCs w:val="16"/>
          <w:lang w:val="es-PE"/>
        </w:rPr>
        <w:t>Nº</w:t>
      </w:r>
      <w:proofErr w:type="spellEnd"/>
      <w:r>
        <w:rPr>
          <w:rFonts w:ascii="Arial" w:hAnsi="Arial"/>
          <w:sz w:val="16"/>
          <w:szCs w:val="16"/>
          <w:lang w:val="es-PE"/>
        </w:rPr>
        <w:t xml:space="preserve"> </w:t>
      </w:r>
      <w:r w:rsidRPr="002C6CCC">
        <w:rPr>
          <w:rFonts w:ascii="Arial" w:hAnsi="Arial"/>
          <w:sz w:val="16"/>
          <w:szCs w:val="16"/>
          <w:lang w:val="es-PE"/>
        </w:rPr>
        <w:t>00</w:t>
      </w:r>
      <w:r>
        <w:rPr>
          <w:rFonts w:ascii="Arial" w:hAnsi="Arial"/>
          <w:sz w:val="16"/>
          <w:szCs w:val="16"/>
          <w:lang w:val="es-PE"/>
        </w:rPr>
        <w:t>60</w:t>
      </w:r>
      <w:r w:rsidRPr="002C6CCC">
        <w:rPr>
          <w:rFonts w:ascii="Arial" w:hAnsi="Arial"/>
          <w:sz w:val="16"/>
          <w:szCs w:val="16"/>
          <w:lang w:val="es-PE"/>
        </w:rPr>
        <w:t>8-2021-MINEDU/SPE-OPEP-UPI</w:t>
      </w:r>
      <w:r>
        <w:rPr>
          <w:lang w:val="es-PE"/>
        </w:rPr>
        <w:t>.</w:t>
      </w:r>
    </w:p>
  </w:footnote>
  <w:footnote w:id="7">
    <w:p w14:paraId="07685938" w14:textId="051D5F30" w:rsidR="00B27B6E" w:rsidRDefault="00B27B6E">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8">
    <w:p w14:paraId="6A521904" w14:textId="77777777" w:rsidR="00B47531" w:rsidRPr="00222E48" w:rsidRDefault="00B47531" w:rsidP="009437D5">
      <w:pPr>
        <w:pStyle w:val="Textonotapie"/>
        <w:contextualSpacing/>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Las inversiones consideradas en los literales b), c) y d) no se encuentran alineadas a la normativa del Invierte.pe.</w:t>
      </w:r>
    </w:p>
  </w:footnote>
  <w:footnote w:id="9">
    <w:p w14:paraId="6A9693E7" w14:textId="77777777" w:rsidR="00B47531" w:rsidRPr="00222E48" w:rsidRDefault="00B47531" w:rsidP="009437D5">
      <w:pPr>
        <w:spacing w:after="0" w:line="240" w:lineRule="auto"/>
        <w:contextualSpacing/>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 w:id="10">
    <w:p w14:paraId="2DB502E0" w14:textId="77777777" w:rsidR="00B47531" w:rsidRPr="00B96CE2" w:rsidRDefault="00B47531" w:rsidP="009437D5">
      <w:pPr>
        <w:pStyle w:val="Textonotapie"/>
        <w:contextualSpacing/>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Mayor detalle sobre este punto puede encontrarse en el Informe </w:t>
      </w:r>
      <w:proofErr w:type="spellStart"/>
      <w:r w:rsidRPr="00222E48">
        <w:rPr>
          <w:rFonts w:ascii="Arial" w:hAnsi="Arial"/>
          <w:sz w:val="16"/>
          <w:szCs w:val="16"/>
        </w:rPr>
        <w:t>N°</w:t>
      </w:r>
      <w:proofErr w:type="spellEnd"/>
      <w:r w:rsidRPr="00222E48">
        <w:rPr>
          <w:rFonts w:ascii="Arial" w:hAnsi="Arial"/>
          <w:sz w:val="16"/>
          <w:szCs w:val="16"/>
        </w:rPr>
        <w:t xml:space="preserve"> 00558-2021-MINEDU/SPE-OPEP-UPI.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2C475644"/>
    <w:multiLevelType w:val="hybridMultilevel"/>
    <w:tmpl w:val="584AA14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39F22A64"/>
    <w:multiLevelType w:val="hybridMultilevel"/>
    <w:tmpl w:val="E80A675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542741">
    <w:abstractNumId w:val="4"/>
  </w:num>
  <w:num w:numId="2" w16cid:durableId="999650051">
    <w:abstractNumId w:val="2"/>
  </w:num>
  <w:num w:numId="3" w16cid:durableId="348263522">
    <w:abstractNumId w:val="0"/>
  </w:num>
  <w:num w:numId="4" w16cid:durableId="847906992">
    <w:abstractNumId w:val="7"/>
  </w:num>
  <w:num w:numId="5" w16cid:durableId="2038891733">
    <w:abstractNumId w:val="6"/>
  </w:num>
  <w:num w:numId="6" w16cid:durableId="858662085">
    <w:abstractNumId w:val="3"/>
  </w:num>
  <w:num w:numId="7" w16cid:durableId="1786538929">
    <w:abstractNumId w:val="5"/>
  </w:num>
  <w:num w:numId="8" w16cid:durableId="177354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03EB2"/>
    <w:rsid w:val="000129B3"/>
    <w:rsid w:val="00020DDF"/>
    <w:rsid w:val="00025B32"/>
    <w:rsid w:val="00033A51"/>
    <w:rsid w:val="0004376B"/>
    <w:rsid w:val="00045EB3"/>
    <w:rsid w:val="00071462"/>
    <w:rsid w:val="00076082"/>
    <w:rsid w:val="00083494"/>
    <w:rsid w:val="000C10E2"/>
    <w:rsid w:val="000D53AE"/>
    <w:rsid w:val="000F784E"/>
    <w:rsid w:val="001056C9"/>
    <w:rsid w:val="001125DA"/>
    <w:rsid w:val="00125397"/>
    <w:rsid w:val="00142865"/>
    <w:rsid w:val="0015653C"/>
    <w:rsid w:val="00162C09"/>
    <w:rsid w:val="00171EB6"/>
    <w:rsid w:val="001A24B5"/>
    <w:rsid w:val="001D5D9B"/>
    <w:rsid w:val="001E666F"/>
    <w:rsid w:val="001F59BD"/>
    <w:rsid w:val="00201772"/>
    <w:rsid w:val="00215A43"/>
    <w:rsid w:val="002175A0"/>
    <w:rsid w:val="00236A69"/>
    <w:rsid w:val="00246044"/>
    <w:rsid w:val="002512EA"/>
    <w:rsid w:val="00254483"/>
    <w:rsid w:val="002C6B38"/>
    <w:rsid w:val="0030016D"/>
    <w:rsid w:val="00325B1B"/>
    <w:rsid w:val="003261A2"/>
    <w:rsid w:val="0034346B"/>
    <w:rsid w:val="00357844"/>
    <w:rsid w:val="00373F00"/>
    <w:rsid w:val="00376B3B"/>
    <w:rsid w:val="003C21ED"/>
    <w:rsid w:val="003E1B59"/>
    <w:rsid w:val="003E3E91"/>
    <w:rsid w:val="00442BBE"/>
    <w:rsid w:val="0044550E"/>
    <w:rsid w:val="004477CE"/>
    <w:rsid w:val="004674EF"/>
    <w:rsid w:val="004A211F"/>
    <w:rsid w:val="004B73EC"/>
    <w:rsid w:val="004C4331"/>
    <w:rsid w:val="004C45DA"/>
    <w:rsid w:val="004E552A"/>
    <w:rsid w:val="004F1649"/>
    <w:rsid w:val="00501759"/>
    <w:rsid w:val="005252CF"/>
    <w:rsid w:val="00562F81"/>
    <w:rsid w:val="005630AB"/>
    <w:rsid w:val="00573060"/>
    <w:rsid w:val="005C15A3"/>
    <w:rsid w:val="005E2882"/>
    <w:rsid w:val="00616C93"/>
    <w:rsid w:val="006340AA"/>
    <w:rsid w:val="00637FF0"/>
    <w:rsid w:val="00643DF8"/>
    <w:rsid w:val="00645C59"/>
    <w:rsid w:val="00657029"/>
    <w:rsid w:val="006637EE"/>
    <w:rsid w:val="0066425D"/>
    <w:rsid w:val="00665CFC"/>
    <w:rsid w:val="00667867"/>
    <w:rsid w:val="00680B5F"/>
    <w:rsid w:val="006A5398"/>
    <w:rsid w:val="006B5F84"/>
    <w:rsid w:val="006E4B8C"/>
    <w:rsid w:val="00714A93"/>
    <w:rsid w:val="007236D7"/>
    <w:rsid w:val="00732B38"/>
    <w:rsid w:val="00746EB6"/>
    <w:rsid w:val="00785D71"/>
    <w:rsid w:val="00791B39"/>
    <w:rsid w:val="007C4F1D"/>
    <w:rsid w:val="007E5285"/>
    <w:rsid w:val="00806383"/>
    <w:rsid w:val="00814517"/>
    <w:rsid w:val="00847D75"/>
    <w:rsid w:val="0085415B"/>
    <w:rsid w:val="00871BC1"/>
    <w:rsid w:val="00873F26"/>
    <w:rsid w:val="0087475F"/>
    <w:rsid w:val="008853C5"/>
    <w:rsid w:val="008A3E1C"/>
    <w:rsid w:val="008C2AC8"/>
    <w:rsid w:val="008D368C"/>
    <w:rsid w:val="008E10DB"/>
    <w:rsid w:val="008E38B9"/>
    <w:rsid w:val="008E6B4E"/>
    <w:rsid w:val="008F534B"/>
    <w:rsid w:val="009002FB"/>
    <w:rsid w:val="00906072"/>
    <w:rsid w:val="00915711"/>
    <w:rsid w:val="0092519A"/>
    <w:rsid w:val="009340BF"/>
    <w:rsid w:val="009436C7"/>
    <w:rsid w:val="009437D5"/>
    <w:rsid w:val="00954049"/>
    <w:rsid w:val="00955AA5"/>
    <w:rsid w:val="009736FF"/>
    <w:rsid w:val="0099799F"/>
    <w:rsid w:val="009B732B"/>
    <w:rsid w:val="009E3425"/>
    <w:rsid w:val="009F2A78"/>
    <w:rsid w:val="009F6EE7"/>
    <w:rsid w:val="00A21105"/>
    <w:rsid w:val="00A42A6D"/>
    <w:rsid w:val="00A85514"/>
    <w:rsid w:val="00AB0037"/>
    <w:rsid w:val="00AB3CA7"/>
    <w:rsid w:val="00AC547F"/>
    <w:rsid w:val="00AC6B83"/>
    <w:rsid w:val="00AD49F8"/>
    <w:rsid w:val="00B204D1"/>
    <w:rsid w:val="00B27B6E"/>
    <w:rsid w:val="00B376E1"/>
    <w:rsid w:val="00B41C15"/>
    <w:rsid w:val="00B4744E"/>
    <w:rsid w:val="00B47531"/>
    <w:rsid w:val="00B50AA2"/>
    <w:rsid w:val="00B50C99"/>
    <w:rsid w:val="00BA6497"/>
    <w:rsid w:val="00BF1A66"/>
    <w:rsid w:val="00C072D4"/>
    <w:rsid w:val="00C1227D"/>
    <w:rsid w:val="00C1645D"/>
    <w:rsid w:val="00C35814"/>
    <w:rsid w:val="00C56226"/>
    <w:rsid w:val="00C6406B"/>
    <w:rsid w:val="00C73B6D"/>
    <w:rsid w:val="00C93B82"/>
    <w:rsid w:val="00CA7D46"/>
    <w:rsid w:val="00CD15CF"/>
    <w:rsid w:val="00CD3A64"/>
    <w:rsid w:val="00CE2DB2"/>
    <w:rsid w:val="00D11639"/>
    <w:rsid w:val="00D13F3B"/>
    <w:rsid w:val="00D16AA9"/>
    <w:rsid w:val="00D25D74"/>
    <w:rsid w:val="00D45F94"/>
    <w:rsid w:val="00D57631"/>
    <w:rsid w:val="00D77EF4"/>
    <w:rsid w:val="00D93115"/>
    <w:rsid w:val="00DB4C71"/>
    <w:rsid w:val="00DC436B"/>
    <w:rsid w:val="00DE2D8A"/>
    <w:rsid w:val="00DF1A12"/>
    <w:rsid w:val="00E01366"/>
    <w:rsid w:val="00E11D2F"/>
    <w:rsid w:val="00E307FC"/>
    <w:rsid w:val="00E5234F"/>
    <w:rsid w:val="00E57BA7"/>
    <w:rsid w:val="00E61559"/>
    <w:rsid w:val="00E848B3"/>
    <w:rsid w:val="00EB2441"/>
    <w:rsid w:val="00EF7C8F"/>
    <w:rsid w:val="00F02D6A"/>
    <w:rsid w:val="00F24E76"/>
    <w:rsid w:val="00F44E9F"/>
    <w:rsid w:val="00F46C03"/>
    <w:rsid w:val="00F6484A"/>
    <w:rsid w:val="00F76CE3"/>
    <w:rsid w:val="00F82D3D"/>
    <w:rsid w:val="00F8530A"/>
    <w:rsid w:val="00F91C12"/>
    <w:rsid w:val="00FA37E3"/>
    <w:rsid w:val="00FB297D"/>
    <w:rsid w:val="00FC13DB"/>
    <w:rsid w:val="00FC4082"/>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Textodeglobo">
    <w:name w:val="Balloon Text"/>
    <w:basedOn w:val="Normal"/>
    <w:link w:val="TextodegloboCar"/>
    <w:uiPriority w:val="99"/>
    <w:semiHidden/>
    <w:unhideWhenUsed/>
    <w:rsid w:val="00873F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F26"/>
    <w:rPr>
      <w:rFonts w:ascii="Segoe UI" w:hAnsi="Segoe UI" w:cs="Segoe UI"/>
      <w:sz w:val="18"/>
      <w:szCs w:val="18"/>
    </w:rPr>
  </w:style>
  <w:style w:type="paragraph" w:styleId="Revisin">
    <w:name w:val="Revision"/>
    <w:hidden/>
    <w:uiPriority w:val="99"/>
    <w:semiHidden/>
    <w:rsid w:val="0044550E"/>
    <w:pPr>
      <w:spacing w:after="0" w:line="240" w:lineRule="auto"/>
    </w:pPr>
  </w:style>
  <w:style w:type="character" w:styleId="Refdecomentario">
    <w:name w:val="annotation reference"/>
    <w:basedOn w:val="Fuentedeprrafopredeter"/>
    <w:uiPriority w:val="99"/>
    <w:semiHidden/>
    <w:unhideWhenUsed/>
    <w:rsid w:val="009E3425"/>
    <w:rPr>
      <w:sz w:val="16"/>
      <w:szCs w:val="16"/>
    </w:rPr>
  </w:style>
  <w:style w:type="paragraph" w:styleId="Textocomentario">
    <w:name w:val="annotation text"/>
    <w:basedOn w:val="Normal"/>
    <w:link w:val="TextocomentarioCar"/>
    <w:uiPriority w:val="99"/>
    <w:unhideWhenUsed/>
    <w:rsid w:val="009E3425"/>
    <w:pPr>
      <w:spacing w:line="240" w:lineRule="auto"/>
    </w:pPr>
    <w:rPr>
      <w:sz w:val="20"/>
      <w:szCs w:val="20"/>
    </w:rPr>
  </w:style>
  <w:style w:type="character" w:customStyle="1" w:styleId="TextocomentarioCar">
    <w:name w:val="Texto comentario Car"/>
    <w:basedOn w:val="Fuentedeprrafopredeter"/>
    <w:link w:val="Textocomentario"/>
    <w:uiPriority w:val="99"/>
    <w:rsid w:val="009E3425"/>
    <w:rPr>
      <w:sz w:val="20"/>
      <w:szCs w:val="20"/>
    </w:rPr>
  </w:style>
  <w:style w:type="paragraph" w:styleId="Asuntodelcomentario">
    <w:name w:val="annotation subject"/>
    <w:basedOn w:val="Textocomentario"/>
    <w:next w:val="Textocomentario"/>
    <w:link w:val="AsuntodelcomentarioCar"/>
    <w:uiPriority w:val="99"/>
    <w:semiHidden/>
    <w:unhideWhenUsed/>
    <w:rsid w:val="009E3425"/>
    <w:rPr>
      <w:b/>
      <w:bCs/>
    </w:rPr>
  </w:style>
  <w:style w:type="character" w:customStyle="1" w:styleId="AsuntodelcomentarioCar">
    <w:name w:val="Asunto del comentario Car"/>
    <w:basedOn w:val="TextocomentarioCar"/>
    <w:link w:val="Asuntodelcomentario"/>
    <w:uiPriority w:val="99"/>
    <w:semiHidden/>
    <w:rsid w:val="009E34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18637">
      <w:bodyDiv w:val="1"/>
      <w:marLeft w:val="0"/>
      <w:marRight w:val="0"/>
      <w:marTop w:val="0"/>
      <w:marBottom w:val="0"/>
      <w:divBdr>
        <w:top w:val="none" w:sz="0" w:space="0" w:color="auto"/>
        <w:left w:val="none" w:sz="0" w:space="0" w:color="auto"/>
        <w:bottom w:val="none" w:sz="0" w:space="0" w:color="auto"/>
        <w:right w:val="none" w:sz="0" w:space="0" w:color="auto"/>
      </w:divBdr>
    </w:div>
    <w:div w:id="13448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12DD-F181-41F2-997C-64C9C6A2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3547</Words>
  <Characters>19511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FRANCISCO ARIAS VALVERDE</cp:lastModifiedBy>
  <cp:revision>33</cp:revision>
  <dcterms:created xsi:type="dcterms:W3CDTF">2022-12-01T20:53:00Z</dcterms:created>
  <dcterms:modified xsi:type="dcterms:W3CDTF">2023-06-26T16:30:00Z</dcterms:modified>
</cp:coreProperties>
</file>