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263A17" w:rsidRPr="00263A17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263A17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263A17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263A17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263A17" w:rsidRPr="00263A17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263A17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73933E1B" w:rsidR="00DE2D8A" w:rsidRPr="00263A17" w:rsidRDefault="00E6293B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50CD9DF4" w:rsidR="00DE2D8A" w:rsidRPr="00263A17" w:rsidRDefault="00E6293B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Porcentaje de deportistas afiliados que no acceden a los servicios de competencia deportiva respecto a la demanda potencial</w:t>
            </w:r>
          </w:p>
        </w:tc>
      </w:tr>
      <w:tr w:rsidR="00263A17" w:rsidRPr="00263A17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263A17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263A17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263A17" w:rsidRPr="00263A17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263A17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F5263FC" w:rsidR="00DE2D8A" w:rsidRPr="00263A17" w:rsidRDefault="00E6293B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099F85E1" w:rsidR="00DE2D8A" w:rsidRPr="00263A17" w:rsidRDefault="00E6293B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Deportista</w:t>
            </w:r>
            <w:r w:rsidR="00044F26" w:rsidRPr="00263A17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263A17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263A17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659FC5D9" w:rsidR="00C73B6D" w:rsidRPr="00263A17" w:rsidRDefault="00263A17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Provincial</w:t>
            </w:r>
          </w:p>
        </w:tc>
      </w:tr>
    </w:tbl>
    <w:p w14:paraId="49FC6AB5" w14:textId="15D377CD" w:rsidR="00EF7C8F" w:rsidRPr="00263A17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263A17" w:rsidRPr="00263A17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263A17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263A17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263A17" w:rsidRPr="00263A17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263A17" w:rsidRPr="00263A17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0DE7B2DA" w:rsidR="00E01366" w:rsidRPr="00263A17" w:rsidRDefault="00263A17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20F4088F" w:rsidR="00E01366" w:rsidRPr="00263A17" w:rsidRDefault="00442BBE" w:rsidP="00263A17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r w:rsidR="00263A17" w:rsidRPr="00263A17">
              <w:rPr>
                <w:rFonts w:ascii="Arial" w:hAnsi="Arial" w:cs="Arial"/>
                <w:sz w:val="16"/>
                <w:szCs w:val="16"/>
              </w:rPr>
              <w:t>Deportivo de Competencia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05C098BE" w:rsidR="00E01366" w:rsidRPr="00263A17" w:rsidRDefault="00263A17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7BC8702A" w:rsidR="00E01366" w:rsidRPr="00263A17" w:rsidRDefault="00263A17" w:rsidP="00A71A0A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Deporte de Competencia</w:t>
            </w:r>
          </w:p>
        </w:tc>
      </w:tr>
      <w:tr w:rsidR="00263A17" w:rsidRPr="00263A17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A17" w:rsidRPr="00263A17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263A17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263A17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263A17" w:rsidRPr="00263A17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263A17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263A17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263A17" w:rsidRPr="00263A17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63A17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263A17" w:rsidRPr="00263A17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63A17" w:rsidRPr="00263A17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263A17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263A17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63A17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1A44818" w:rsidR="00E01366" w:rsidRPr="00263A17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A1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081616D4" w:rsidR="00E01366" w:rsidRPr="00263A17" w:rsidRDefault="006C01B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A1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4F97E003" w:rsidR="00E01366" w:rsidRPr="00263A17" w:rsidRDefault="00263A17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A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263A17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A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A17" w:rsidRPr="00263A17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263A17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263A17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E6293B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E0697C" w:rsidRPr="00E0697C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E0697C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E0697C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E6293B" w:rsidRPr="00E6293B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E6293B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67FD14DF" w14:textId="77777777" w:rsidR="00E0697C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deporte es la actividad física que se promueve como un factor importante para la recreación, la mejora de la salud, la renovación y desarrollo de las potencialidades físicas, mentales y espirituales del ser humano, mediante la participación y sana competencia en todas sus disciplinas deportivas y recreativas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7316A924" w14:textId="77777777" w:rsidR="00E0697C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763CD21" w14:textId="77777777" w:rsidR="00E0697C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deportista afiliado es aquel cuya práctica deportiva tiene carácter competitivo y busca el alto rendimiento en las diferentes disciplinas deportivas a través de las organizaciones deportivas inscritas en los Registros Públicos, en el Registro Nacional del Deporte (RENADE) y en el organismo de base que le corresponde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5AC138FD" w14:textId="77777777" w:rsidR="00E0697C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1B41F1F" w14:textId="77777777" w:rsidR="00E0697C" w:rsidRDefault="00E0697C" w:rsidP="00E0697C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  <w:r w:rsidRPr="006701E0">
              <w:rPr>
                <w:rFonts w:ascii="Arial" w:hAnsi="Arial"/>
                <w:sz w:val="20"/>
                <w:szCs w:val="20"/>
              </w:rPr>
              <w:t xml:space="preserve">El indicador </w:t>
            </w:r>
            <w:r>
              <w:rPr>
                <w:rFonts w:ascii="Arial" w:hAnsi="Arial"/>
                <w:sz w:val="20"/>
                <w:szCs w:val="20"/>
              </w:rPr>
              <w:t>representa la demanda potencial no atendida con</w:t>
            </w:r>
            <w:r w:rsidRPr="006701E0">
              <w:rPr>
                <w:rFonts w:ascii="Arial" w:hAnsi="Arial"/>
                <w:bCs/>
                <w:sz w:val="20"/>
                <w:szCs w:val="18"/>
              </w:rPr>
              <w:t xml:space="preserve"> los servicios de competencia deportiva</w:t>
            </w:r>
            <w:r>
              <w:rPr>
                <w:rFonts w:ascii="Arial" w:hAnsi="Arial"/>
                <w:bCs/>
                <w:sz w:val="20"/>
                <w:szCs w:val="18"/>
              </w:rPr>
              <w:t xml:space="preserve"> del Instituto Peruano de Deporte, Gobiernos Regionales y Gobiernos Locales</w:t>
            </w:r>
            <w:r w:rsidRPr="006701E0">
              <w:rPr>
                <w:rFonts w:ascii="Arial" w:hAnsi="Arial"/>
                <w:bCs/>
                <w:sz w:val="20"/>
                <w:szCs w:val="18"/>
              </w:rPr>
              <w:t>.</w:t>
            </w:r>
          </w:p>
          <w:p w14:paraId="361AC09A" w14:textId="77777777" w:rsidR="00E0697C" w:rsidRDefault="00E0697C" w:rsidP="00E0697C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3B5BB3B4" w14:textId="77777777" w:rsidR="00E0697C" w:rsidRPr="00996FBE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96FBE">
              <w:rPr>
                <w:rFonts w:ascii="Arial" w:hAnsi="Arial"/>
                <w:sz w:val="20"/>
                <w:szCs w:val="20"/>
              </w:rPr>
              <w:t>La demanda potencial no atendida hace mención al grupo de la población de referencia con necesidades d</w:t>
            </w:r>
            <w:r>
              <w:rPr>
                <w:rFonts w:ascii="Arial" w:hAnsi="Arial"/>
                <w:sz w:val="20"/>
                <w:szCs w:val="20"/>
              </w:rPr>
              <w:t>e los servicios de competencia deportiva</w:t>
            </w:r>
            <w:r w:rsidRPr="00996FBE">
              <w:rPr>
                <w:rFonts w:ascii="Arial" w:hAnsi="Arial"/>
                <w:sz w:val="20"/>
                <w:szCs w:val="20"/>
              </w:rPr>
              <w:t xml:space="preserve">, que en la actualidad no fueron provistas por el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996FBE">
              <w:rPr>
                <w:rFonts w:ascii="Arial" w:hAnsi="Arial"/>
                <w:sz w:val="20"/>
                <w:szCs w:val="20"/>
              </w:rPr>
              <w:t>stado.</w:t>
            </w:r>
          </w:p>
          <w:p w14:paraId="4809DF79" w14:textId="77777777" w:rsidR="00E0697C" w:rsidRPr="006701E0" w:rsidRDefault="00E0697C" w:rsidP="00E0697C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3DCF120E" w14:textId="77777777" w:rsidR="00E0697C" w:rsidRDefault="00E0697C" w:rsidP="00E0697C">
            <w:pPr>
              <w:jc w:val="both"/>
            </w:pPr>
            <w:r w:rsidRPr="006701E0">
              <w:rPr>
                <w:rFonts w:ascii="Arial" w:hAnsi="Arial"/>
                <w:bCs/>
                <w:sz w:val="20"/>
                <w:szCs w:val="18"/>
              </w:rPr>
              <w:t>Los servicios de competencia deportiva son de carácter oficial y se lleva</w:t>
            </w:r>
            <w:r>
              <w:rPr>
                <w:rFonts w:ascii="Arial" w:hAnsi="Arial"/>
                <w:bCs/>
                <w:sz w:val="20"/>
                <w:szCs w:val="18"/>
              </w:rPr>
              <w:t>n</w:t>
            </w:r>
            <w:r w:rsidRPr="006701E0">
              <w:rPr>
                <w:rFonts w:ascii="Arial" w:hAnsi="Arial"/>
                <w:bCs/>
                <w:sz w:val="20"/>
                <w:szCs w:val="18"/>
              </w:rPr>
              <w:t xml:space="preserve"> a cabo en campeonatos nacionales e internacionales o en circuitos olímpicos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4BF4688B" w14:textId="77777777" w:rsidR="00E0697C" w:rsidRDefault="00E0697C" w:rsidP="00E0697C">
            <w:pPr>
              <w:jc w:val="both"/>
            </w:pPr>
          </w:p>
          <w:p w14:paraId="7A5B84F1" w14:textId="77777777" w:rsidR="00E0697C" w:rsidRPr="002E60E1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E60E1">
              <w:rPr>
                <w:rFonts w:ascii="Arial" w:hAnsi="Arial"/>
                <w:sz w:val="20"/>
                <w:szCs w:val="20"/>
              </w:rPr>
              <w:t>Son escenarios deportivos de competencia los siguientes:</w:t>
            </w:r>
          </w:p>
          <w:p w14:paraId="240819B3" w14:textId="77777777" w:rsidR="00E0697C" w:rsidRPr="002E60E1" w:rsidRDefault="00E0697C" w:rsidP="00E0697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E60E1">
              <w:rPr>
                <w:rFonts w:ascii="Arial" w:hAnsi="Arial"/>
                <w:b/>
                <w:sz w:val="20"/>
                <w:szCs w:val="20"/>
              </w:rPr>
              <w:t>Estadios</w:t>
            </w:r>
            <w:r w:rsidRPr="002E60E1">
              <w:rPr>
                <w:rFonts w:ascii="Arial" w:hAnsi="Arial"/>
                <w:sz w:val="20"/>
                <w:szCs w:val="20"/>
              </w:rPr>
              <w:t xml:space="preserve"> para torneos de competencia de fútbol y/o atletismo de carácter nacional e internacional, donde asiste la población a ver eventos deportivos. </w:t>
            </w:r>
          </w:p>
          <w:p w14:paraId="65CE9D26" w14:textId="77777777" w:rsidR="00E0697C" w:rsidRPr="002E60E1" w:rsidRDefault="00E0697C" w:rsidP="00E0697C">
            <w:pPr>
              <w:pStyle w:val="Prrafodelista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26FB2B1" w14:textId="77777777" w:rsidR="00E0697C" w:rsidRPr="002E60E1" w:rsidRDefault="00E0697C" w:rsidP="00E0697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E60E1">
              <w:rPr>
                <w:rFonts w:ascii="Arial" w:hAnsi="Arial"/>
                <w:b/>
                <w:sz w:val="20"/>
                <w:szCs w:val="20"/>
              </w:rPr>
              <w:lastRenderedPageBreak/>
              <w:t>Coliseos</w:t>
            </w:r>
            <w:r w:rsidRPr="002E60E1">
              <w:rPr>
                <w:rFonts w:ascii="Arial" w:hAnsi="Arial"/>
                <w:sz w:val="20"/>
                <w:szCs w:val="20"/>
              </w:rPr>
              <w:t xml:space="preserve"> para torneos de voleibol, basquetbol, futsal, artes marciales, box, tenis de mesa o gimnasia, de alcance nacional e internacional, donde asiste la población a ver eventos deportivos. </w:t>
            </w:r>
          </w:p>
          <w:p w14:paraId="5226FBC1" w14:textId="77777777" w:rsidR="00E0697C" w:rsidRPr="002E60E1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C94F195" w14:textId="77777777" w:rsidR="00E0697C" w:rsidRPr="002E60E1" w:rsidRDefault="00E0697C" w:rsidP="00E0697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E60E1">
              <w:rPr>
                <w:rFonts w:ascii="Arial" w:hAnsi="Arial"/>
                <w:b/>
                <w:sz w:val="20"/>
                <w:szCs w:val="20"/>
              </w:rPr>
              <w:t>Piscina Olímpica</w:t>
            </w:r>
            <w:r w:rsidRPr="002E60E1">
              <w:rPr>
                <w:rFonts w:ascii="Arial" w:hAnsi="Arial"/>
                <w:sz w:val="20"/>
                <w:szCs w:val="20"/>
              </w:rPr>
              <w:t xml:space="preserve"> para torneos de natación, nado sincronizado, saltos ornamentales a nivel nacional e internacional, donde asiste la población a ver eventos deportivos. Necesariamente tiene tribunas y su uso es durante todo el año.</w:t>
            </w:r>
          </w:p>
          <w:p w14:paraId="3904AC22" w14:textId="77777777" w:rsidR="00E0697C" w:rsidRPr="002E60E1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34C6760" w14:textId="77777777" w:rsidR="00E0697C" w:rsidRPr="002E60E1" w:rsidRDefault="00E0697C" w:rsidP="00E0697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2E60E1">
              <w:rPr>
                <w:rFonts w:ascii="Arial" w:hAnsi="Arial"/>
                <w:b/>
                <w:sz w:val="20"/>
                <w:szCs w:val="20"/>
              </w:rPr>
              <w:t>Otros</w:t>
            </w:r>
            <w:r w:rsidRPr="002E60E1">
              <w:rPr>
                <w:rFonts w:ascii="Arial" w:hAnsi="Arial"/>
                <w:sz w:val="20"/>
                <w:szCs w:val="20"/>
              </w:rPr>
              <w:t>, velódromos, campos de handball y otros a los que asiste la población a ver eventos deportivos.</w:t>
            </w:r>
          </w:p>
          <w:p w14:paraId="7F52E88A" w14:textId="3015E0F0" w:rsidR="002C6B38" w:rsidRPr="00E6293B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E0697C" w:rsidRPr="00E0697C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E0697C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E0697C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E6293B" w:rsidRPr="00E6293B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E56C" w14:textId="77777777" w:rsidR="00E0697C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C2200">
              <w:rPr>
                <w:rFonts w:ascii="Arial" w:hAnsi="Arial"/>
                <w:sz w:val="20"/>
                <w:szCs w:val="20"/>
              </w:rPr>
              <w:t>Este indicador permite medir direc</w:t>
            </w:r>
            <w:r>
              <w:rPr>
                <w:rFonts w:ascii="Arial" w:hAnsi="Arial"/>
                <w:sz w:val="20"/>
                <w:szCs w:val="20"/>
              </w:rPr>
              <w:t>tamente la brecha de acceso a los servicios de competencia deportiva</w:t>
            </w:r>
            <w:r w:rsidRPr="00FC2200">
              <w:rPr>
                <w:rFonts w:ascii="Arial" w:hAnsi="Arial"/>
                <w:sz w:val="20"/>
                <w:szCs w:val="20"/>
              </w:rPr>
              <w:t xml:space="preserve">, y consiguientemente el cierre de esta brecha está vinculado directamente con la ejecución de </w:t>
            </w:r>
            <w:r>
              <w:rPr>
                <w:rFonts w:ascii="Arial" w:hAnsi="Arial"/>
                <w:sz w:val="20"/>
                <w:szCs w:val="20"/>
              </w:rPr>
              <w:t>inversiones</w:t>
            </w:r>
            <w:r w:rsidRPr="00FC2200">
              <w:rPr>
                <w:rFonts w:ascii="Arial" w:hAnsi="Arial"/>
                <w:sz w:val="20"/>
                <w:szCs w:val="20"/>
              </w:rPr>
              <w:t>.</w:t>
            </w:r>
          </w:p>
          <w:p w14:paraId="7D76E9E9" w14:textId="5CF90B53" w:rsidR="002C6B38" w:rsidRPr="00E6293B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E6293B" w:rsidRPr="00E6293B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E0697C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E0697C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E6293B" w:rsidRPr="00E6293B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E0697C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E0697C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E0697C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5ECECF03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x 100</w:t>
            </w:r>
            <w:r w:rsidR="001A17A5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E0697C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E0697C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0697C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E0697C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E0697C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E0697C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6B0624B4" w:rsidR="002C6B38" w:rsidRPr="00E0697C" w:rsidRDefault="009A21F0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TDA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E0697C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E0697C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0697C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6A4051AF" w:rsidR="002C6B38" w:rsidRPr="00E0697C" w:rsidRDefault="009A21F0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DAASC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E0697C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E0697C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E0697C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293B" w:rsidRPr="00E6293B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736" w14:textId="77777777" w:rsidR="00B2741B" w:rsidRPr="00E0697C" w:rsidRDefault="00B27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0697C">
              <w:rPr>
                <w:rFonts w:ascii="Arial" w:hAnsi="Arial"/>
                <w:sz w:val="20"/>
                <w:szCs w:val="20"/>
              </w:rPr>
              <w:t>Para efectos de cálculo el indicador, este será medido de la siguiente forma:</w:t>
            </w:r>
          </w:p>
          <w:p w14:paraId="3F16021E" w14:textId="77777777" w:rsidR="00B2741B" w:rsidRPr="00E0697C" w:rsidRDefault="00B2741B" w:rsidP="00B2741B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4A5C0806" w14:textId="676B2450" w:rsidR="00B2741B" w:rsidRPr="00E0697C" w:rsidRDefault="009A21F0" w:rsidP="00B2741B">
            <w:pPr>
              <w:jc w:val="center"/>
              <w:rPr>
                <w:rFonts w:ascii="Arial" w:eastAsiaTheme="minorEastAsia" w:hAnsi="Arial"/>
                <w:i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PPPAF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DAASC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TDA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100%</m:t>
                </m:r>
              </m:oMath>
            </m:oMathPara>
          </w:p>
          <w:p w14:paraId="47ACA0D3" w14:textId="77777777" w:rsidR="00B2741B" w:rsidRPr="00E0697C" w:rsidRDefault="00B2741B" w:rsidP="00B2741B">
            <w:pPr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p w14:paraId="62CDE523" w14:textId="77777777" w:rsidR="00E0697C" w:rsidRPr="00E0697C" w:rsidRDefault="009A21F0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PD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ANASC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E0697C" w:rsidRPr="00E0697C">
              <w:rPr>
                <w:rFonts w:ascii="Arial" w:hAnsi="Arial"/>
                <w:sz w:val="20"/>
                <w:szCs w:val="20"/>
              </w:rPr>
              <w:t xml:space="preserve"> = Porcentaje de deportistas afiliados que no acceden a los servicios de competencia deportiva respecto a la demanda potencial en el tiempo t.</w:t>
            </w:r>
          </w:p>
          <w:p w14:paraId="0FDC6235" w14:textId="77777777" w:rsidR="00E0697C" w:rsidRPr="00E0697C" w:rsidRDefault="00E0697C" w:rsidP="00E0697C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14B053B6" w14:textId="5CD8A283" w:rsidR="00E0697C" w:rsidRPr="00E0697C" w:rsidRDefault="009A21F0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DAASC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E0697C" w:rsidRPr="00E0697C">
              <w:rPr>
                <w:rFonts w:ascii="Arial" w:hAnsi="Arial"/>
                <w:sz w:val="20"/>
                <w:szCs w:val="20"/>
              </w:rPr>
              <w:t xml:space="preserve"> = Cantidad de deportistas afiliados que acceden a los servicios de competencia deportiva, en el tiempo t.</w:t>
            </w:r>
          </w:p>
          <w:p w14:paraId="4B883965" w14:textId="77777777" w:rsidR="00E0697C" w:rsidRPr="00E0697C" w:rsidRDefault="00E0697C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40EAE15" w14:textId="77777777" w:rsidR="00E0697C" w:rsidRPr="00E0697C" w:rsidRDefault="009A21F0" w:rsidP="00E0697C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TDA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E0697C" w:rsidRPr="00E0697C">
              <w:rPr>
                <w:rFonts w:ascii="Arial" w:hAnsi="Arial"/>
                <w:sz w:val="20"/>
                <w:szCs w:val="20"/>
              </w:rPr>
              <w:t xml:space="preserve"> = Cantidad total de deportistas afiliados, en el tiempo t.</w:t>
            </w:r>
          </w:p>
          <w:p w14:paraId="3B36C1BA" w14:textId="77777777" w:rsidR="00246044" w:rsidRPr="00E0697C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D74FD" w:rsidRPr="00DD74FD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D74FD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DD74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74FD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DD74FD" w:rsidRPr="00DD74FD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833" w14:textId="48A7934C" w:rsidR="00B2741B" w:rsidRPr="00DD74FD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DD74FD">
              <w:rPr>
                <w:rFonts w:ascii="Arial" w:hAnsi="Arial"/>
                <w:sz w:val="20"/>
                <w:szCs w:val="18"/>
              </w:rPr>
              <w:t>Pendiente</w:t>
            </w:r>
          </w:p>
          <w:p w14:paraId="785BAF9F" w14:textId="307B5ED3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74FD" w:rsidRPr="00DD74FD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D74FD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DD74FD" w:rsidRPr="00DD74FD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5D8" w14:textId="77777777" w:rsidR="00DD74FD" w:rsidRPr="00DD74FD" w:rsidRDefault="00DD74FD" w:rsidP="00DD74FD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DD74FD">
              <w:rPr>
                <w:rFonts w:ascii="Arial" w:hAnsi="Arial"/>
                <w:sz w:val="20"/>
                <w:szCs w:val="18"/>
              </w:rPr>
              <w:t>Pendiente</w:t>
            </w:r>
          </w:p>
          <w:p w14:paraId="53FF7498" w14:textId="64B6F214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74FD" w:rsidRPr="00DD74FD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DD74FD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DD74FD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DD74FD" w:rsidRPr="00DD74FD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496" w14:textId="77777777" w:rsidR="00DD74FD" w:rsidRPr="00DD74FD" w:rsidRDefault="00DD74FD" w:rsidP="00DD74FD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DD74FD">
              <w:rPr>
                <w:rFonts w:ascii="Arial" w:hAnsi="Arial"/>
                <w:sz w:val="20"/>
                <w:szCs w:val="18"/>
              </w:rPr>
              <w:t>Pendiente</w:t>
            </w:r>
          </w:p>
          <w:p w14:paraId="123EB2D1" w14:textId="3EB96B64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74FD" w:rsidRPr="00DD74FD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D74FD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DD74FD" w:rsidRPr="00DD74FD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A2DE" w14:textId="77387932" w:rsidR="00D46CD2" w:rsidRPr="00DD74FD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DD74FD">
              <w:rPr>
                <w:rFonts w:ascii="Arial" w:hAnsi="Arial"/>
                <w:sz w:val="20"/>
                <w:szCs w:val="18"/>
              </w:rPr>
              <w:t>Pendiente</w:t>
            </w:r>
          </w:p>
          <w:p w14:paraId="28B61996" w14:textId="5A285899" w:rsidR="002C6B38" w:rsidRPr="00DD74FD" w:rsidRDefault="002C6B38" w:rsidP="00992417">
            <w:pPr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</w:tc>
      </w:tr>
      <w:tr w:rsidR="00DD74FD" w:rsidRPr="00DD74FD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DD74F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DD74FD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DD74FD" w:rsidRPr="00DD74FD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6B4" w14:textId="77777777" w:rsidR="00B2741B" w:rsidRPr="00DD74FD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DD74FD">
              <w:rPr>
                <w:rFonts w:ascii="Arial" w:hAnsi="Arial"/>
                <w:sz w:val="20"/>
                <w:szCs w:val="18"/>
              </w:rPr>
              <w:t>Pendiente</w:t>
            </w:r>
          </w:p>
          <w:p w14:paraId="3344E65F" w14:textId="4760D56C" w:rsidR="002C6B38" w:rsidRPr="00DD74FD" w:rsidRDefault="002C6B38" w:rsidP="00CA283E">
            <w:pPr>
              <w:pStyle w:val="Prrafodelista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E6293B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E6293B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6C34" w14:textId="77777777" w:rsidR="009A21F0" w:rsidRDefault="009A21F0" w:rsidP="00020DDF">
      <w:pPr>
        <w:spacing w:after="0" w:line="240" w:lineRule="auto"/>
      </w:pPr>
      <w:r>
        <w:separator/>
      </w:r>
    </w:p>
  </w:endnote>
  <w:endnote w:type="continuationSeparator" w:id="0">
    <w:p w14:paraId="40B24C4C" w14:textId="77777777" w:rsidR="009A21F0" w:rsidRDefault="009A21F0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C2028" w14:textId="77777777" w:rsidR="009A21F0" w:rsidRDefault="009A21F0" w:rsidP="00020DDF">
      <w:pPr>
        <w:spacing w:after="0" w:line="240" w:lineRule="auto"/>
      </w:pPr>
      <w:r>
        <w:separator/>
      </w:r>
    </w:p>
  </w:footnote>
  <w:footnote w:type="continuationSeparator" w:id="0">
    <w:p w14:paraId="0F113B65" w14:textId="77777777" w:rsidR="009A21F0" w:rsidRDefault="009A21F0" w:rsidP="00020DDF">
      <w:pPr>
        <w:spacing w:after="0" w:line="240" w:lineRule="auto"/>
      </w:pPr>
      <w:r>
        <w:continuationSeparator/>
      </w:r>
    </w:p>
  </w:footnote>
  <w:footnote w:id="1">
    <w:p w14:paraId="25268B3E" w14:textId="77777777" w:rsidR="00E0697C" w:rsidRPr="008B605D" w:rsidRDefault="00E0697C" w:rsidP="00E0697C">
      <w:pPr>
        <w:pStyle w:val="Textonotapie"/>
        <w:rPr>
          <w:rFonts w:ascii="Arial" w:hAnsi="Arial"/>
          <w:sz w:val="16"/>
          <w:szCs w:val="16"/>
          <w:lang w:val="es-PE"/>
        </w:rPr>
      </w:pPr>
      <w:r w:rsidRPr="008B605D">
        <w:rPr>
          <w:rStyle w:val="Refdenotaalpie"/>
          <w:rFonts w:ascii="Arial" w:hAnsi="Arial"/>
          <w:sz w:val="16"/>
          <w:szCs w:val="16"/>
        </w:rPr>
        <w:footnoteRef/>
      </w:r>
      <w:r w:rsidRPr="008B605D">
        <w:rPr>
          <w:rFonts w:ascii="Arial" w:hAnsi="Arial"/>
          <w:sz w:val="16"/>
          <w:szCs w:val="16"/>
        </w:rPr>
        <w:t xml:space="preserve"> Artículo 2 de la Ley N° 28036, Ley de Promoción y Desarrollo del Deporte</w:t>
      </w:r>
      <w:r>
        <w:rPr>
          <w:rFonts w:ascii="Arial" w:hAnsi="Arial"/>
          <w:sz w:val="16"/>
          <w:szCs w:val="16"/>
        </w:rPr>
        <w:t xml:space="preserve"> y sus modificatorias</w:t>
      </w:r>
      <w:r w:rsidRPr="008B605D">
        <w:rPr>
          <w:rFonts w:ascii="Arial" w:hAnsi="Arial"/>
          <w:sz w:val="16"/>
          <w:szCs w:val="16"/>
        </w:rPr>
        <w:t>.</w:t>
      </w:r>
    </w:p>
  </w:footnote>
  <w:footnote w:id="2">
    <w:p w14:paraId="52B89A4C" w14:textId="77777777" w:rsidR="00E0697C" w:rsidRPr="00B76B26" w:rsidRDefault="00E0697C" w:rsidP="00E0697C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8B605D">
        <w:rPr>
          <w:rFonts w:ascii="Arial" w:hAnsi="Arial"/>
          <w:sz w:val="16"/>
          <w:szCs w:val="16"/>
        </w:rPr>
        <w:t>Artículo 2 de la Ley N° 28036, Ley de Promoción y Desarrollo del Deporte</w:t>
      </w:r>
      <w:r>
        <w:rPr>
          <w:rFonts w:ascii="Arial" w:hAnsi="Arial"/>
          <w:sz w:val="16"/>
          <w:szCs w:val="16"/>
        </w:rPr>
        <w:t xml:space="preserve"> y sus modificatorias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65E"/>
    <w:multiLevelType w:val="hybridMultilevel"/>
    <w:tmpl w:val="79A42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A33"/>
    <w:multiLevelType w:val="hybridMultilevel"/>
    <w:tmpl w:val="CCD6CB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4FCD"/>
    <w:multiLevelType w:val="hybridMultilevel"/>
    <w:tmpl w:val="4B1499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32C"/>
    <w:multiLevelType w:val="hybridMultilevel"/>
    <w:tmpl w:val="C6067B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24C"/>
    <w:multiLevelType w:val="hybridMultilevel"/>
    <w:tmpl w:val="46D0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5D53E0"/>
    <w:multiLevelType w:val="hybridMultilevel"/>
    <w:tmpl w:val="DADC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5A14"/>
    <w:multiLevelType w:val="hybridMultilevel"/>
    <w:tmpl w:val="F88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5B69"/>
    <w:multiLevelType w:val="hybridMultilevel"/>
    <w:tmpl w:val="4568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31CE1"/>
    <w:multiLevelType w:val="hybridMultilevel"/>
    <w:tmpl w:val="51E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E266C9"/>
    <w:multiLevelType w:val="hybridMultilevel"/>
    <w:tmpl w:val="0A5488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D13C1"/>
    <w:multiLevelType w:val="hybridMultilevel"/>
    <w:tmpl w:val="F5D22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35B77"/>
    <w:multiLevelType w:val="hybridMultilevel"/>
    <w:tmpl w:val="819A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059DE"/>
    <w:multiLevelType w:val="hybridMultilevel"/>
    <w:tmpl w:val="DD98B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2307E"/>
    <w:multiLevelType w:val="hybridMultilevel"/>
    <w:tmpl w:val="FD5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0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21"/>
  </w:num>
  <w:num w:numId="10">
    <w:abstractNumId w:val="19"/>
  </w:num>
  <w:num w:numId="11">
    <w:abstractNumId w:val="0"/>
  </w:num>
  <w:num w:numId="12">
    <w:abstractNumId w:val="12"/>
  </w:num>
  <w:num w:numId="13">
    <w:abstractNumId w:val="22"/>
  </w:num>
  <w:num w:numId="14">
    <w:abstractNumId w:val="9"/>
  </w:num>
  <w:num w:numId="15">
    <w:abstractNumId w:val="18"/>
  </w:num>
  <w:num w:numId="16">
    <w:abstractNumId w:val="11"/>
  </w:num>
  <w:num w:numId="17">
    <w:abstractNumId w:val="5"/>
  </w:num>
  <w:num w:numId="18">
    <w:abstractNumId w:val="13"/>
  </w:num>
  <w:num w:numId="19">
    <w:abstractNumId w:val="3"/>
  </w:num>
  <w:num w:numId="20">
    <w:abstractNumId w:val="16"/>
  </w:num>
  <w:num w:numId="21">
    <w:abstractNumId w:val="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0224"/>
    <w:rsid w:val="00044F26"/>
    <w:rsid w:val="00045EB3"/>
    <w:rsid w:val="00071462"/>
    <w:rsid w:val="00076082"/>
    <w:rsid w:val="000A6132"/>
    <w:rsid w:val="000C10E2"/>
    <w:rsid w:val="000F784E"/>
    <w:rsid w:val="001056C9"/>
    <w:rsid w:val="001125DA"/>
    <w:rsid w:val="00112943"/>
    <w:rsid w:val="00142865"/>
    <w:rsid w:val="0015653C"/>
    <w:rsid w:val="00162C09"/>
    <w:rsid w:val="00171EB6"/>
    <w:rsid w:val="001830DD"/>
    <w:rsid w:val="001A1754"/>
    <w:rsid w:val="001A17A5"/>
    <w:rsid w:val="001A24B5"/>
    <w:rsid w:val="001B0AB1"/>
    <w:rsid w:val="001D5D9B"/>
    <w:rsid w:val="001E666F"/>
    <w:rsid w:val="001F0AF0"/>
    <w:rsid w:val="001F59BD"/>
    <w:rsid w:val="00201772"/>
    <w:rsid w:val="00215A43"/>
    <w:rsid w:val="002175A0"/>
    <w:rsid w:val="00246044"/>
    <w:rsid w:val="002512EA"/>
    <w:rsid w:val="00263A17"/>
    <w:rsid w:val="002A717D"/>
    <w:rsid w:val="002B499B"/>
    <w:rsid w:val="002B691A"/>
    <w:rsid w:val="002C6B38"/>
    <w:rsid w:val="0030016D"/>
    <w:rsid w:val="00325B1B"/>
    <w:rsid w:val="003261A2"/>
    <w:rsid w:val="00357844"/>
    <w:rsid w:val="00373F00"/>
    <w:rsid w:val="0039583C"/>
    <w:rsid w:val="003A1F06"/>
    <w:rsid w:val="003C21ED"/>
    <w:rsid w:val="003E1B59"/>
    <w:rsid w:val="003E3E91"/>
    <w:rsid w:val="00437E46"/>
    <w:rsid w:val="00442BBE"/>
    <w:rsid w:val="004567B3"/>
    <w:rsid w:val="004835CB"/>
    <w:rsid w:val="004A211F"/>
    <w:rsid w:val="004B73EC"/>
    <w:rsid w:val="004C2460"/>
    <w:rsid w:val="004C4331"/>
    <w:rsid w:val="004C634D"/>
    <w:rsid w:val="004E552A"/>
    <w:rsid w:val="00501759"/>
    <w:rsid w:val="005252CF"/>
    <w:rsid w:val="00545D0C"/>
    <w:rsid w:val="00573060"/>
    <w:rsid w:val="005A0F2D"/>
    <w:rsid w:val="005C15A3"/>
    <w:rsid w:val="005D2C61"/>
    <w:rsid w:val="005E2882"/>
    <w:rsid w:val="00616C93"/>
    <w:rsid w:val="00637FF0"/>
    <w:rsid w:val="00664EF2"/>
    <w:rsid w:val="006A5398"/>
    <w:rsid w:val="006C01B0"/>
    <w:rsid w:val="006C721A"/>
    <w:rsid w:val="006E4A39"/>
    <w:rsid w:val="006F7D61"/>
    <w:rsid w:val="00714A93"/>
    <w:rsid w:val="007236D7"/>
    <w:rsid w:val="00746EB6"/>
    <w:rsid w:val="00785D71"/>
    <w:rsid w:val="00791B39"/>
    <w:rsid w:val="007C4F1D"/>
    <w:rsid w:val="007D316F"/>
    <w:rsid w:val="00806383"/>
    <w:rsid w:val="00814517"/>
    <w:rsid w:val="00823D29"/>
    <w:rsid w:val="00836ED4"/>
    <w:rsid w:val="0085415B"/>
    <w:rsid w:val="00877A63"/>
    <w:rsid w:val="00884989"/>
    <w:rsid w:val="008853C5"/>
    <w:rsid w:val="008B6D51"/>
    <w:rsid w:val="008C08F0"/>
    <w:rsid w:val="008C2AC8"/>
    <w:rsid w:val="008C3143"/>
    <w:rsid w:val="008E10DB"/>
    <w:rsid w:val="008E38B9"/>
    <w:rsid w:val="008E3FD2"/>
    <w:rsid w:val="008E6B4E"/>
    <w:rsid w:val="008F534B"/>
    <w:rsid w:val="009002FB"/>
    <w:rsid w:val="00906072"/>
    <w:rsid w:val="009437D5"/>
    <w:rsid w:val="009736FF"/>
    <w:rsid w:val="00992417"/>
    <w:rsid w:val="0099713F"/>
    <w:rsid w:val="0099799F"/>
    <w:rsid w:val="009A21F0"/>
    <w:rsid w:val="009B732B"/>
    <w:rsid w:val="009F6EE7"/>
    <w:rsid w:val="00A42A6D"/>
    <w:rsid w:val="00A65299"/>
    <w:rsid w:val="00A71A0A"/>
    <w:rsid w:val="00A85514"/>
    <w:rsid w:val="00A95F38"/>
    <w:rsid w:val="00AB0037"/>
    <w:rsid w:val="00AB3CA7"/>
    <w:rsid w:val="00AC6B83"/>
    <w:rsid w:val="00AD49F8"/>
    <w:rsid w:val="00B033E1"/>
    <w:rsid w:val="00B06816"/>
    <w:rsid w:val="00B1731C"/>
    <w:rsid w:val="00B204D1"/>
    <w:rsid w:val="00B2741B"/>
    <w:rsid w:val="00B41C15"/>
    <w:rsid w:val="00B42D60"/>
    <w:rsid w:val="00B4744E"/>
    <w:rsid w:val="00B50C99"/>
    <w:rsid w:val="00B71812"/>
    <w:rsid w:val="00B859CA"/>
    <w:rsid w:val="00B93BCF"/>
    <w:rsid w:val="00BF1A66"/>
    <w:rsid w:val="00C1227D"/>
    <w:rsid w:val="00C1645D"/>
    <w:rsid w:val="00C35814"/>
    <w:rsid w:val="00C56226"/>
    <w:rsid w:val="00C6406B"/>
    <w:rsid w:val="00C73B6D"/>
    <w:rsid w:val="00CA283E"/>
    <w:rsid w:val="00CA54DC"/>
    <w:rsid w:val="00CA7D46"/>
    <w:rsid w:val="00CE2DB2"/>
    <w:rsid w:val="00D10FE9"/>
    <w:rsid w:val="00D11639"/>
    <w:rsid w:val="00D1211E"/>
    <w:rsid w:val="00D16AA9"/>
    <w:rsid w:val="00D25D74"/>
    <w:rsid w:val="00D46CD2"/>
    <w:rsid w:val="00D51B4D"/>
    <w:rsid w:val="00D57631"/>
    <w:rsid w:val="00D93115"/>
    <w:rsid w:val="00DB4C71"/>
    <w:rsid w:val="00DC436B"/>
    <w:rsid w:val="00DD74FD"/>
    <w:rsid w:val="00DE2D8A"/>
    <w:rsid w:val="00DF1A12"/>
    <w:rsid w:val="00E01366"/>
    <w:rsid w:val="00E0697C"/>
    <w:rsid w:val="00E11D2F"/>
    <w:rsid w:val="00E1334F"/>
    <w:rsid w:val="00E3668C"/>
    <w:rsid w:val="00E5234F"/>
    <w:rsid w:val="00E57BA7"/>
    <w:rsid w:val="00E6293B"/>
    <w:rsid w:val="00E71CFC"/>
    <w:rsid w:val="00E848B3"/>
    <w:rsid w:val="00EB2441"/>
    <w:rsid w:val="00EF7C8F"/>
    <w:rsid w:val="00F24EB0"/>
    <w:rsid w:val="00F6484A"/>
    <w:rsid w:val="00F64BB7"/>
    <w:rsid w:val="00F82D3D"/>
    <w:rsid w:val="00F91C12"/>
    <w:rsid w:val="00FA37E3"/>
    <w:rsid w:val="00FC13DB"/>
    <w:rsid w:val="00FC15DA"/>
    <w:rsid w:val="00FC7D43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SubPárrafo de lista,TITULO A,Titulo de Fígura,Conclusiones,paul2,Cuadro 2-1,Iz - Párrafo de lista,Sivsa Parrafo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aliases w:val="Bulleted List Car,Fundamentacion Car,SubPárrafo de lista Car,TITULO A Car,Titulo de Fígura Car,Conclusiones Car,paul2 Car,Cuadro 2-1 Car,Iz - Párrafo de lista Car,Sivsa Parrafo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B17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4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56</cp:revision>
  <dcterms:created xsi:type="dcterms:W3CDTF">2022-12-01T20:53:00Z</dcterms:created>
  <dcterms:modified xsi:type="dcterms:W3CDTF">2022-12-05T18:06:00Z</dcterms:modified>
</cp:coreProperties>
</file>