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3669C" w:rsidRPr="0003669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3669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69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3669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3669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9D00E4" w:rsidRPr="009D00E4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9D00E4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539A4CFD" w:rsidR="00DE2D8A" w:rsidRPr="009D00E4" w:rsidRDefault="009D00E4" w:rsidP="004B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0C675E67" w:rsidR="00DE2D8A" w:rsidRPr="009D00E4" w:rsidRDefault="009D00E4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Porcentaje de Unidades de Posgrado de universidades públicas que cuentan con capacidad instalada inadecuada</w:t>
            </w:r>
          </w:p>
        </w:tc>
      </w:tr>
      <w:tr w:rsidR="009D00E4" w:rsidRPr="009D00E4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9D00E4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56476DD2" w:rsidR="00FA37E3" w:rsidRPr="009D00E4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</w:tr>
      <w:tr w:rsidR="009D00E4" w:rsidRPr="009D00E4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9D00E4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4BBC71A8" w:rsidR="00DE2D8A" w:rsidRPr="009D00E4" w:rsidRDefault="009D00E4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7001C5FA" w:rsidR="00DE2D8A" w:rsidRPr="009D00E4" w:rsidRDefault="00442BBE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 xml:space="preserve">Unidad </w:t>
            </w:r>
            <w:r w:rsidR="009D00E4" w:rsidRPr="009D00E4">
              <w:rPr>
                <w:rFonts w:ascii="Arial" w:hAnsi="Arial" w:cs="Arial"/>
                <w:sz w:val="16"/>
                <w:szCs w:val="16"/>
              </w:rPr>
              <w:t>de Posgrado</w:t>
            </w:r>
          </w:p>
        </w:tc>
      </w:tr>
      <w:tr w:rsidR="009D00E4" w:rsidRPr="009D00E4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9D00E4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45D808E8" w:rsidR="00C73B6D" w:rsidRPr="009D00E4" w:rsidRDefault="00C422C0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Nacional</w:t>
            </w:r>
          </w:p>
        </w:tc>
      </w:tr>
    </w:tbl>
    <w:p w14:paraId="49FC6AB5" w14:textId="15D377CD" w:rsidR="00EF7C8F" w:rsidRPr="009D00E4" w:rsidRDefault="00EF7C8F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9D00E4" w:rsidRPr="009D00E4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9D00E4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9D00E4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9D00E4" w:rsidRPr="009D00E4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9D00E4" w:rsidRPr="009D00E4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68FAD983" w:rsidR="00E01366" w:rsidRPr="009D00E4" w:rsidRDefault="009D00E4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755C9633" w:rsidR="00E01366" w:rsidRPr="009D00E4" w:rsidRDefault="00442BBE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C422C0" w:rsidRPr="009D00E4">
              <w:rPr>
                <w:rFonts w:ascii="Arial" w:hAnsi="Arial" w:cs="Arial"/>
                <w:sz w:val="16"/>
                <w:szCs w:val="16"/>
              </w:rPr>
              <w:t xml:space="preserve">Formación de </w:t>
            </w:r>
            <w:r w:rsidR="009D00E4" w:rsidRPr="009D00E4">
              <w:rPr>
                <w:rFonts w:ascii="Arial" w:hAnsi="Arial" w:cs="Arial"/>
                <w:sz w:val="16"/>
                <w:szCs w:val="16"/>
              </w:rPr>
              <w:t>Posgrado</w:t>
            </w:r>
            <w:r w:rsidR="00C422C0" w:rsidRPr="009D00E4">
              <w:rPr>
                <w:rFonts w:ascii="Arial" w:hAnsi="Arial" w:cs="Arial"/>
                <w:sz w:val="16"/>
                <w:szCs w:val="16"/>
              </w:rPr>
              <w:t xml:space="preserve"> en Educación Superior Universitaria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0DD5EA50" w:rsidR="00E01366" w:rsidRPr="009D00E4" w:rsidRDefault="009D00E4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58FE4A6A" w:rsidR="00E01366" w:rsidRPr="009D00E4" w:rsidRDefault="0026508A" w:rsidP="00C422C0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  <w:r w:rsidR="00847FB8" w:rsidRPr="009D00E4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C422C0" w:rsidRPr="009D00E4">
              <w:rPr>
                <w:rFonts w:ascii="Arial" w:hAnsi="Arial" w:cs="Arial"/>
                <w:sz w:val="16"/>
                <w:szCs w:val="16"/>
              </w:rPr>
              <w:t>Universitaria</w:t>
            </w:r>
            <w:r w:rsidR="009D00E4" w:rsidRPr="009D00E4">
              <w:rPr>
                <w:rFonts w:ascii="Arial" w:hAnsi="Arial" w:cs="Arial"/>
                <w:sz w:val="16"/>
                <w:szCs w:val="16"/>
              </w:rPr>
              <w:t xml:space="preserve"> de nivel de Posgrado</w:t>
            </w:r>
          </w:p>
        </w:tc>
      </w:tr>
      <w:tr w:rsidR="009D00E4" w:rsidRPr="009D00E4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C0" w:rsidRPr="009D00E4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9D00E4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9D00E4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9D00E4" w:rsidRPr="009D00E4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9D00E4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9D00E4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9D00E4" w:rsidRPr="009D00E4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Municip.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Municip.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D00E4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9D00E4" w:rsidRPr="009D00E4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D00E4" w:rsidRPr="009D00E4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9D00E4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09EBA5FD" w:rsidR="00E01366" w:rsidRPr="009D00E4" w:rsidRDefault="00871BC1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D00E4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4D728CDF" w:rsidR="00E01366" w:rsidRPr="009D00E4" w:rsidRDefault="00C422C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0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3E7B500D" w:rsidR="00E01366" w:rsidRPr="009D00E4" w:rsidRDefault="00847FB8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0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6798CC6C" w:rsidR="00E01366" w:rsidRPr="009D00E4" w:rsidRDefault="00847FB8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0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4FF38681" w:rsidR="00E01366" w:rsidRPr="009D00E4" w:rsidRDefault="00871BC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0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0E4" w:rsidRPr="009D00E4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9D00E4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9D00E4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9D00E4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9D00E4" w:rsidRPr="009D00E4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9D00E4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9D00E4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9D00E4" w:rsidRPr="009D00E4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5931" w14:textId="77777777" w:rsidR="009D00E4" w:rsidRPr="003C14E3" w:rsidRDefault="009D00E4" w:rsidP="009D00E4">
            <w:pPr>
              <w:pStyle w:val="NormalWeb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La universidad puede organizar una Escuela de Posgrado que incluye una o más Unidades de </w:t>
            </w:r>
            <w:r w:rsidRPr="003C14E3">
              <w:rPr>
                <w:rFonts w:ascii="Arial" w:hAnsi="Arial" w:cs="Arial"/>
                <w:sz w:val="20"/>
                <w:szCs w:val="20"/>
              </w:rPr>
              <w:t>Posgrado</w:t>
            </w:r>
            <w:r w:rsidRPr="003C14E3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Pr="003C14E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DA28EF6" w14:textId="77777777" w:rsidR="009D00E4" w:rsidRPr="00494F9A" w:rsidRDefault="009D00E4" w:rsidP="009D00E4">
            <w:pPr>
              <w:pStyle w:val="NormalWeb"/>
              <w:jc w:val="both"/>
              <w:rPr>
                <w:rFonts w:ascii="Arial" w:hAnsi="Arial"/>
                <w:sz w:val="20"/>
                <w:szCs w:val="20"/>
              </w:rPr>
            </w:pPr>
            <w:r w:rsidRPr="003C14E3">
              <w:rPr>
                <w:rFonts w:ascii="Arial" w:hAnsi="Arial"/>
                <w:b/>
                <w:sz w:val="20"/>
                <w:szCs w:val="20"/>
              </w:rPr>
              <w:t>La Unidad de Posgrado</w:t>
            </w:r>
            <w:r w:rsidRPr="003C14E3">
              <w:rPr>
                <w:rFonts w:ascii="Arial" w:hAnsi="Arial"/>
                <w:sz w:val="20"/>
                <w:szCs w:val="20"/>
              </w:rPr>
              <w:t xml:space="preserve"> es la Unidad </w:t>
            </w:r>
            <w:r w:rsidRPr="003C14E3">
              <w:rPr>
                <w:rFonts w:ascii="Arial" w:hAnsi="Arial" w:cs="Arial"/>
                <w:sz w:val="20"/>
                <w:szCs w:val="20"/>
              </w:rPr>
              <w:t>es la unidad encargada de integrar las actividades de Posgrado de la Facultad</w:t>
            </w:r>
            <w:r w:rsidRPr="003C14E3">
              <w:rPr>
                <w:rStyle w:val="Refdenotaalpie"/>
                <w:rFonts w:ascii="Arial" w:hAnsi="Arial"/>
                <w:sz w:val="20"/>
                <w:szCs w:val="20"/>
              </w:rPr>
              <w:footnoteReference w:id="2"/>
            </w:r>
            <w:r w:rsidRPr="003C14E3">
              <w:rPr>
                <w:rFonts w:ascii="Arial" w:hAnsi="Arial"/>
                <w:sz w:val="20"/>
                <w:szCs w:val="20"/>
              </w:rPr>
              <w:t>. Los estudios de postgrado conducentes a la obtención de diplomados, maestrías y doctorados</w:t>
            </w:r>
            <w:r w:rsidRPr="003C14E3">
              <w:rPr>
                <w:rStyle w:val="Refdenotaalpie"/>
                <w:rFonts w:ascii="Arial" w:hAnsi="Arial"/>
                <w:sz w:val="20"/>
                <w:szCs w:val="20"/>
              </w:rPr>
              <w:footnoteReference w:id="3"/>
            </w:r>
            <w:r w:rsidRPr="003C14E3">
              <w:rPr>
                <w:rFonts w:ascii="Arial" w:hAnsi="Arial"/>
                <w:sz w:val="20"/>
                <w:szCs w:val="20"/>
              </w:rPr>
              <w:t>. Constituyen la Unidad Productora de Servicios representativa del Servicio de Educación Superior Universitaria-Post grado.</w:t>
            </w:r>
          </w:p>
          <w:p w14:paraId="305324E5" w14:textId="77777777" w:rsidR="009D00E4" w:rsidRPr="00494F9A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Este indicador representa la relación que existe entre las Unidades y/o Escuelas de Posgrado con capacidad instalada inadecuada respecto al total, cuya función es la formación académica de alta especialización</w:t>
            </w:r>
            <w:r w:rsidRPr="00494F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en las Universidades Públicas.</w:t>
            </w:r>
          </w:p>
          <w:p w14:paraId="00BB4182" w14:textId="77777777" w:rsidR="009D00E4" w:rsidRPr="00494F9A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ACCC350" w14:textId="77777777" w:rsidR="009D00E4" w:rsidRPr="00DC0E89" w:rsidRDefault="009D00E4" w:rsidP="009D00E4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La capacidad instalada se encuentra representada por los activos estratégicos de infraestructura que se utilizan en las Unidades y/o Escuelas de Posgrado para brindar el servicio de postgrado, como espacios físicos, así como los activos estratégicos </w:t>
            </w:r>
            <w:r w:rsidRPr="00177163">
              <w:rPr>
                <w:rFonts w:ascii="Arial" w:hAnsi="Arial"/>
                <w:bCs/>
                <w:sz w:val="20"/>
                <w:szCs w:val="20"/>
              </w:rPr>
              <w:t>de equipamiento y mobiliario.</w:t>
            </w:r>
          </w:p>
          <w:p w14:paraId="0C6D988D" w14:textId="77777777" w:rsidR="009D00E4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38218F3" w14:textId="77777777" w:rsidR="009D00E4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 considera que las unidades de posgrado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4"/>
            </w:r>
            <w:r>
              <w:rPr>
                <w:rFonts w:ascii="Arial" w:hAnsi="Arial"/>
                <w:sz w:val="20"/>
                <w:szCs w:val="20"/>
              </w:rPr>
              <w:t xml:space="preserve"> cuentan con capacidad instalada inadecuada cuando no cumplen con las normas técnicas vigentes o no tienen los suficientes recursos para el desarrollo del servicio.</w:t>
            </w:r>
          </w:p>
          <w:p w14:paraId="1103FB8F" w14:textId="77777777" w:rsidR="009D00E4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0D64D80" w14:textId="77777777" w:rsidR="009D00E4" w:rsidRPr="009446AB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recursos de infraestructura de las Unidades y/o Escuelas de posgrado pueden ser los siguientes: a</w:t>
            </w:r>
            <w:r w:rsidRPr="00161A04">
              <w:rPr>
                <w:rFonts w:ascii="Arial" w:hAnsi="Arial"/>
                <w:sz w:val="20"/>
                <w:szCs w:val="20"/>
              </w:rPr>
              <w:t>ulas</w:t>
            </w:r>
            <w:r>
              <w:rPr>
                <w:rFonts w:ascii="Arial" w:hAnsi="Arial"/>
                <w:sz w:val="20"/>
                <w:szCs w:val="20"/>
              </w:rPr>
              <w:t>, l</w:t>
            </w:r>
            <w:r w:rsidRPr="00161A04">
              <w:rPr>
                <w:rFonts w:ascii="Arial" w:hAnsi="Arial"/>
                <w:sz w:val="20"/>
                <w:szCs w:val="20"/>
              </w:rPr>
              <w:t>aboratorios especializados</w:t>
            </w:r>
            <w:r>
              <w:rPr>
                <w:rFonts w:ascii="Arial" w:hAnsi="Arial"/>
                <w:sz w:val="20"/>
                <w:szCs w:val="20"/>
              </w:rPr>
              <w:t>, b</w:t>
            </w:r>
            <w:r w:rsidRPr="00161A04">
              <w:rPr>
                <w:rFonts w:ascii="Arial" w:hAnsi="Arial"/>
                <w:sz w:val="20"/>
                <w:szCs w:val="20"/>
              </w:rPr>
              <w:t>ibliotecas especializadas</w:t>
            </w:r>
            <w:r>
              <w:rPr>
                <w:rFonts w:ascii="Arial" w:hAnsi="Arial"/>
                <w:sz w:val="20"/>
                <w:szCs w:val="20"/>
              </w:rPr>
              <w:t>, h</w:t>
            </w:r>
            <w:r w:rsidRPr="00161A04">
              <w:rPr>
                <w:rFonts w:ascii="Arial" w:hAnsi="Arial"/>
                <w:sz w:val="20"/>
                <w:szCs w:val="20"/>
              </w:rPr>
              <w:t>emerotecas</w:t>
            </w:r>
            <w:r>
              <w:rPr>
                <w:rFonts w:ascii="Arial" w:hAnsi="Arial"/>
                <w:sz w:val="20"/>
                <w:szCs w:val="20"/>
              </w:rPr>
              <w:t>, o</w:t>
            </w:r>
            <w:r w:rsidRPr="00161A04">
              <w:rPr>
                <w:rFonts w:ascii="Arial" w:hAnsi="Arial"/>
                <w:sz w:val="20"/>
                <w:szCs w:val="20"/>
              </w:rPr>
              <w:t>ficinas administrativas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161A04">
              <w:rPr>
                <w:rFonts w:ascii="Arial" w:hAnsi="Arial"/>
                <w:sz w:val="20"/>
                <w:szCs w:val="20"/>
              </w:rPr>
              <w:t>SSHH personal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161A04">
              <w:rPr>
                <w:rFonts w:ascii="Arial" w:hAnsi="Arial"/>
                <w:sz w:val="20"/>
                <w:szCs w:val="20"/>
              </w:rPr>
              <w:t xml:space="preserve"> SSHH alumnos</w:t>
            </w:r>
            <w:r>
              <w:rPr>
                <w:rFonts w:ascii="Arial" w:hAnsi="Arial"/>
                <w:sz w:val="20"/>
                <w:szCs w:val="20"/>
              </w:rPr>
              <w:t>, d</w:t>
            </w:r>
            <w:r w:rsidRPr="009446AB">
              <w:rPr>
                <w:rFonts w:ascii="Arial" w:hAnsi="Arial"/>
                <w:sz w:val="20"/>
                <w:szCs w:val="20"/>
              </w:rPr>
              <w:t>epósito</w:t>
            </w:r>
            <w:r>
              <w:rPr>
                <w:rFonts w:ascii="Arial" w:hAnsi="Arial"/>
                <w:sz w:val="20"/>
                <w:szCs w:val="20"/>
              </w:rPr>
              <w:t>, a</w:t>
            </w:r>
            <w:r w:rsidRPr="009446AB">
              <w:rPr>
                <w:rFonts w:ascii="Arial" w:hAnsi="Arial"/>
                <w:sz w:val="20"/>
                <w:szCs w:val="20"/>
              </w:rPr>
              <w:t>rchivos</w:t>
            </w:r>
            <w:r>
              <w:rPr>
                <w:rFonts w:ascii="Arial" w:hAnsi="Arial"/>
                <w:sz w:val="20"/>
                <w:szCs w:val="20"/>
              </w:rPr>
              <w:t>, o</w:t>
            </w:r>
            <w:r w:rsidRPr="009446AB">
              <w:rPr>
                <w:rFonts w:ascii="Arial" w:hAnsi="Arial"/>
                <w:sz w:val="20"/>
                <w:szCs w:val="20"/>
              </w:rPr>
              <w:t>bras exteriores</w:t>
            </w:r>
            <w:r>
              <w:rPr>
                <w:rFonts w:ascii="Arial" w:hAnsi="Arial"/>
                <w:sz w:val="20"/>
                <w:szCs w:val="20"/>
              </w:rPr>
              <w:t>, entre otros</w:t>
            </w:r>
            <w:r w:rsidRPr="009446AB">
              <w:rPr>
                <w:rFonts w:ascii="Arial" w:hAnsi="Arial"/>
                <w:sz w:val="20"/>
                <w:szCs w:val="20"/>
              </w:rPr>
              <w:t>.</w:t>
            </w:r>
          </w:p>
          <w:p w14:paraId="7F52E88A" w14:textId="25155DB2" w:rsidR="00847FB8" w:rsidRPr="009D00E4" w:rsidRDefault="00847FB8" w:rsidP="00847FB8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FF0000"/>
                <w:sz w:val="20"/>
                <w:szCs w:val="18"/>
                <w:lang w:eastAsia="es-ES_tradnl"/>
              </w:rPr>
            </w:pPr>
          </w:p>
        </w:tc>
      </w:tr>
      <w:tr w:rsidR="009D00E4" w:rsidRPr="009D00E4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9D00E4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9D00E4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9D00E4" w:rsidRPr="009D00E4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96C3" w14:textId="77777777" w:rsidR="009D00E4" w:rsidRPr="00494F9A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494F9A">
              <w:rPr>
                <w:rFonts w:ascii="Arial" w:hAnsi="Arial"/>
                <w:sz w:val="20"/>
                <w:szCs w:val="20"/>
              </w:rPr>
              <w:t xml:space="preserve">Este indicador permite medir directamente la brecha de calidad en la infraestructura que brinda el  </w:t>
            </w:r>
            <w:r>
              <w:rPr>
                <w:rFonts w:ascii="Arial" w:hAnsi="Arial"/>
                <w:bCs/>
                <w:sz w:val="20"/>
                <w:szCs w:val="20"/>
              </w:rPr>
              <w:t>Servicio de Pos</w:t>
            </w:r>
            <w:r w:rsidRPr="00494F9A">
              <w:rPr>
                <w:rFonts w:ascii="Arial" w:hAnsi="Arial"/>
                <w:bCs/>
                <w:sz w:val="20"/>
                <w:szCs w:val="20"/>
              </w:rPr>
              <w:t>grado</w:t>
            </w:r>
            <w:r w:rsidRPr="00494F9A">
              <w:rPr>
                <w:rFonts w:ascii="Arial" w:hAnsi="Arial"/>
                <w:sz w:val="20"/>
                <w:szCs w:val="20"/>
              </w:rPr>
              <w:t xml:space="preserve"> para el cumplimiento de funciones y obligaciones de la Universidad Pública</w:t>
            </w:r>
            <w:r>
              <w:rPr>
                <w:rFonts w:ascii="Arial" w:hAnsi="Arial"/>
                <w:sz w:val="20"/>
                <w:szCs w:val="20"/>
              </w:rPr>
              <w:t>. E</w:t>
            </w:r>
            <w:r w:rsidRPr="00494F9A">
              <w:rPr>
                <w:rFonts w:ascii="Arial" w:hAnsi="Arial"/>
                <w:sz w:val="20"/>
                <w:szCs w:val="20"/>
              </w:rPr>
              <w:t xml:space="preserve">l cierre </w:t>
            </w:r>
            <w:r>
              <w:rPr>
                <w:rFonts w:ascii="Arial" w:hAnsi="Arial"/>
                <w:sz w:val="20"/>
                <w:szCs w:val="20"/>
              </w:rPr>
              <w:t xml:space="preserve">de brecha </w:t>
            </w:r>
            <w:r w:rsidRPr="00494F9A">
              <w:rPr>
                <w:rFonts w:ascii="Arial" w:hAnsi="Arial"/>
                <w:sz w:val="20"/>
                <w:szCs w:val="20"/>
              </w:rPr>
              <w:t xml:space="preserve">está vinculado directamente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494F9A">
              <w:rPr>
                <w:rFonts w:ascii="Arial" w:hAnsi="Arial"/>
                <w:sz w:val="20"/>
                <w:szCs w:val="20"/>
              </w:rPr>
              <w:t xml:space="preserve"> la ejecución de </w:t>
            </w:r>
            <w:r>
              <w:rPr>
                <w:rFonts w:ascii="Arial" w:hAnsi="Arial"/>
                <w:sz w:val="20"/>
                <w:szCs w:val="20"/>
              </w:rPr>
              <w:t>inversiones</w:t>
            </w:r>
            <w:r w:rsidRPr="00494F9A">
              <w:rPr>
                <w:rFonts w:ascii="Arial" w:hAnsi="Arial"/>
                <w:sz w:val="20"/>
                <w:szCs w:val="20"/>
              </w:rPr>
              <w:t>.</w:t>
            </w:r>
          </w:p>
          <w:p w14:paraId="7D76E9E9" w14:textId="5CF90B53" w:rsidR="002C6B38" w:rsidRPr="009D00E4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D00E4" w:rsidRPr="009D00E4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9D00E4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9D00E4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9D00E4" w:rsidRPr="009D00E4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C6B38" w:rsidRPr="009D00E4" w:rsidRDefault="002C6B38" w:rsidP="002C6B38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47CDCB29" w:rsidR="002C6B38" w:rsidRPr="009D00E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501F989F" w:rsidR="002C6B38" w:rsidRPr="009D00E4" w:rsidRDefault="002C6B38" w:rsidP="00246044">
            <w:pPr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53F33CC5" w:rsidR="002C6B38" w:rsidRPr="009D00E4" w:rsidRDefault="004569A9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9D00E4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1102" w:type="dxa"/>
            <w:vAlign w:val="center"/>
          </w:tcPr>
          <w:p w14:paraId="62DEA624" w14:textId="56B2562A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>x 100</w:t>
            </w:r>
            <w:r w:rsidR="004569A9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9D00E4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827ADA0" w:rsidR="002C6B38" w:rsidRPr="009D00E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DF8E0" wp14:editId="36D22A6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D6F1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D00E4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9D00E4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9D00E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13DD6E44" w:rsidR="002C6B38" w:rsidRPr="009D00E4" w:rsidRDefault="00D43D50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TUP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725C36E1" w:rsidR="002C6B38" w:rsidRPr="009D00E4" w:rsidRDefault="004569A9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9D00E4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9D00E4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317F6816" w:rsidR="002C6B38" w:rsidRPr="009D00E4" w:rsidRDefault="00D43D50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NUPCII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9D00E4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9D00E4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4B88" w14:textId="77777777" w:rsidR="009D00E4" w:rsidRPr="00494F9A" w:rsidRDefault="009D00E4" w:rsidP="009D00E4">
            <w:pPr>
              <w:spacing w:before="24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494F9A">
              <w:rPr>
                <w:rFonts w:ascii="Arial" w:hAnsi="Arial"/>
                <w:sz w:val="20"/>
                <w:szCs w:val="20"/>
              </w:rPr>
              <w:t xml:space="preserve">Para efectos de cálculo </w:t>
            </w:r>
            <w:r>
              <w:rPr>
                <w:rFonts w:ascii="Arial" w:hAnsi="Arial"/>
                <w:sz w:val="20"/>
                <w:szCs w:val="20"/>
              </w:rPr>
              <w:t>d</w:t>
            </w:r>
            <w:r w:rsidRPr="00494F9A">
              <w:rPr>
                <w:rFonts w:ascii="Arial" w:hAnsi="Arial"/>
                <w:sz w:val="20"/>
                <w:szCs w:val="20"/>
              </w:rPr>
              <w:t>el indicador, esta será medid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494F9A">
              <w:rPr>
                <w:rFonts w:ascii="Arial" w:hAnsi="Arial"/>
                <w:sz w:val="20"/>
                <w:szCs w:val="20"/>
              </w:rPr>
              <w:t xml:space="preserve"> de la siguiente forma:</w:t>
            </w:r>
          </w:p>
          <w:p w14:paraId="5C5D718D" w14:textId="77777777" w:rsidR="009D00E4" w:rsidRPr="00494F9A" w:rsidRDefault="009D00E4" w:rsidP="009D00E4">
            <w:pPr>
              <w:spacing w:before="24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7DA2390" w14:textId="77777777" w:rsidR="009D00E4" w:rsidRPr="008A3AF5" w:rsidRDefault="00D43D50" w:rsidP="009D00E4">
            <w:pPr>
              <w:spacing w:before="240" w:after="120"/>
              <w:contextualSpacing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PUPCII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NUPCII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TUP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14:paraId="56931005" w14:textId="77777777" w:rsidR="009D00E4" w:rsidRPr="008A3AF5" w:rsidRDefault="009D00E4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62DA7F4F" w14:textId="77777777" w:rsidR="009D00E4" w:rsidRPr="00494F9A" w:rsidRDefault="00D43D50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PUPCII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9D00E4" w:rsidRPr="00494F9A">
              <w:rPr>
                <w:rFonts w:ascii="Arial" w:hAnsi="Arial"/>
                <w:sz w:val="20"/>
                <w:szCs w:val="20"/>
              </w:rPr>
              <w:t xml:space="preserve"> Porcentaje de Unidades de Postgrado</w:t>
            </w:r>
            <w:r w:rsidR="009D00E4">
              <w:rPr>
                <w:rFonts w:ascii="Arial" w:hAnsi="Arial"/>
                <w:sz w:val="20"/>
                <w:szCs w:val="20"/>
              </w:rPr>
              <w:t xml:space="preserve"> de gestión pública </w:t>
            </w:r>
            <w:r w:rsidR="009D00E4" w:rsidRPr="00494F9A">
              <w:rPr>
                <w:rFonts w:ascii="Arial" w:hAnsi="Arial"/>
                <w:sz w:val="20"/>
                <w:szCs w:val="20"/>
              </w:rPr>
              <w:t xml:space="preserve">con </w:t>
            </w:r>
            <w:r w:rsidR="009D00E4">
              <w:rPr>
                <w:rFonts w:ascii="Arial" w:hAnsi="Arial"/>
                <w:sz w:val="20"/>
                <w:szCs w:val="20"/>
              </w:rPr>
              <w:t>capacidad instalada</w:t>
            </w:r>
            <w:r w:rsidR="009D00E4" w:rsidRPr="00494F9A">
              <w:rPr>
                <w:rFonts w:ascii="Arial" w:hAnsi="Arial"/>
                <w:sz w:val="20"/>
                <w:szCs w:val="20"/>
              </w:rPr>
              <w:t xml:space="preserve"> inadecuadas en el tiempo t.</w:t>
            </w:r>
          </w:p>
          <w:p w14:paraId="7352DE53" w14:textId="77777777" w:rsidR="009D00E4" w:rsidRPr="00494F9A" w:rsidRDefault="009D00E4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D28142E" w14:textId="77777777" w:rsidR="009D00E4" w:rsidRPr="00494F9A" w:rsidRDefault="00D43D50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NUPCII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9D00E4" w:rsidRPr="00494F9A">
              <w:rPr>
                <w:rFonts w:ascii="Arial" w:hAnsi="Arial"/>
                <w:sz w:val="20"/>
                <w:szCs w:val="20"/>
              </w:rPr>
              <w:t xml:space="preserve"> Número de Unidades </w:t>
            </w:r>
            <w:r w:rsidR="009D00E4">
              <w:rPr>
                <w:rFonts w:ascii="Arial" w:hAnsi="Arial"/>
                <w:sz w:val="20"/>
                <w:szCs w:val="20"/>
              </w:rPr>
              <w:t>y/o Escuelas de Pos</w:t>
            </w:r>
            <w:r w:rsidR="009D00E4" w:rsidRPr="00494F9A">
              <w:rPr>
                <w:rFonts w:ascii="Arial" w:hAnsi="Arial"/>
                <w:sz w:val="20"/>
                <w:szCs w:val="20"/>
              </w:rPr>
              <w:t xml:space="preserve">grado con recursos de infraestructura </w:t>
            </w:r>
            <w:r w:rsidR="009D00E4">
              <w:rPr>
                <w:rFonts w:ascii="Arial" w:hAnsi="Arial"/>
                <w:sz w:val="20"/>
                <w:szCs w:val="20"/>
              </w:rPr>
              <w:t xml:space="preserve">con capacidad instalada </w:t>
            </w:r>
            <w:r w:rsidR="009D00E4" w:rsidRPr="00494F9A">
              <w:rPr>
                <w:rFonts w:ascii="Arial" w:hAnsi="Arial"/>
                <w:sz w:val="20"/>
                <w:szCs w:val="20"/>
              </w:rPr>
              <w:t>inadecuada para el cumplimiento de funciones y obligaciones de la Universidad Pública en el tiempo t.</w:t>
            </w:r>
          </w:p>
          <w:p w14:paraId="159B16A2" w14:textId="77777777" w:rsidR="009D00E4" w:rsidRPr="00494F9A" w:rsidRDefault="009D00E4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9C00A3B" w14:textId="77777777" w:rsidR="009D00E4" w:rsidRPr="00494F9A" w:rsidRDefault="00D43D50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TUP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9D00E4" w:rsidRPr="00494F9A">
              <w:rPr>
                <w:rFonts w:ascii="Arial" w:hAnsi="Arial"/>
                <w:sz w:val="20"/>
                <w:szCs w:val="20"/>
              </w:rPr>
              <w:t xml:space="preserve"> Cantidad total de Unidades </w:t>
            </w:r>
            <w:r w:rsidR="009D00E4">
              <w:rPr>
                <w:rFonts w:ascii="Arial" w:hAnsi="Arial"/>
                <w:sz w:val="20"/>
                <w:szCs w:val="20"/>
              </w:rPr>
              <w:t>y/o Escuelas de Pos</w:t>
            </w:r>
            <w:r w:rsidR="009D00E4" w:rsidRPr="00494F9A">
              <w:rPr>
                <w:rFonts w:ascii="Arial" w:hAnsi="Arial"/>
                <w:sz w:val="20"/>
                <w:szCs w:val="20"/>
              </w:rPr>
              <w:t>grado con recursos de infraestructura existente para el cumplimiento de funciones y obligaciones de la Universidad Pública en el tiempo t.</w:t>
            </w:r>
          </w:p>
          <w:p w14:paraId="57558147" w14:textId="77777777" w:rsidR="009D00E4" w:rsidRPr="00494F9A" w:rsidRDefault="009D00E4" w:rsidP="009D00E4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64D66C6" w14:textId="77777777" w:rsidR="009D00E4" w:rsidRPr="00494F9A" w:rsidRDefault="009D00E4" w:rsidP="009D00E4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494F9A">
              <w:rPr>
                <w:rFonts w:ascii="Arial" w:hAnsi="Arial"/>
                <w:sz w:val="20"/>
                <w:szCs w:val="20"/>
              </w:rPr>
              <w:t xml:space="preserve">El indicador puede ser aplicado </w:t>
            </w:r>
            <w:r>
              <w:rPr>
                <w:rFonts w:ascii="Arial" w:hAnsi="Arial"/>
                <w:sz w:val="20"/>
                <w:szCs w:val="20"/>
              </w:rPr>
              <w:t>a nivel Nacional o en cada Universidad.</w:t>
            </w:r>
          </w:p>
          <w:p w14:paraId="3B36C1BA" w14:textId="77777777" w:rsidR="00246044" w:rsidRPr="009D00E4" w:rsidRDefault="00246044" w:rsidP="002C6B38">
            <w:pPr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9D00E4" w:rsidRPr="009D00E4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9D00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D00E4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9D00E4" w:rsidRPr="009D00E4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FCC" w14:textId="464F519D" w:rsidR="002352E0" w:rsidRPr="009D00E4" w:rsidRDefault="009D00E4" w:rsidP="002352E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D00E4">
              <w:rPr>
                <w:rFonts w:ascii="Arial" w:hAnsi="Arial"/>
                <w:sz w:val="20"/>
                <w:szCs w:val="20"/>
              </w:rPr>
              <w:t>Pendiente</w:t>
            </w:r>
          </w:p>
          <w:p w14:paraId="785BAF9F" w14:textId="307B5ED3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9D00E4" w:rsidRPr="009D00E4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B92" w14:textId="77777777" w:rsidR="009D00E4" w:rsidRPr="009D00E4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9D00E4">
              <w:rPr>
                <w:rFonts w:ascii="Arial" w:hAnsi="Arial"/>
                <w:sz w:val="20"/>
                <w:szCs w:val="20"/>
              </w:rPr>
              <w:t>Pendiente</w:t>
            </w:r>
          </w:p>
          <w:p w14:paraId="53FF7498" w14:textId="64B6F214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00E4" w:rsidRPr="009D00E4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6B15EA09" w:rsidR="002C6B38" w:rsidRPr="009D00E4" w:rsidRDefault="00A6796B" w:rsidP="00A6796B">
            <w:pPr>
              <w:rPr>
                <w:rFonts w:ascii="Arial" w:hAnsi="Arial" w:cs="Arial"/>
                <w:sz w:val="18"/>
                <w:szCs w:val="20"/>
              </w:rPr>
            </w:pPr>
            <w:r w:rsidRPr="009D00E4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9D00E4" w:rsidRPr="009D00E4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F06" w14:textId="77777777" w:rsidR="009D00E4" w:rsidRPr="009D00E4" w:rsidRDefault="009D00E4" w:rsidP="009D00E4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9D00E4">
              <w:rPr>
                <w:rFonts w:ascii="Arial" w:hAnsi="Arial"/>
                <w:sz w:val="20"/>
                <w:szCs w:val="20"/>
              </w:rPr>
              <w:t>Pendiente</w:t>
            </w:r>
          </w:p>
          <w:p w14:paraId="123EB2D1" w14:textId="3EB96B64" w:rsidR="002C6B38" w:rsidRPr="009D00E4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7EB3" w:rsidRPr="00C57EB3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C57EB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C57EB3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9D00E4" w:rsidRPr="009D00E4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D48" w14:textId="77777777" w:rsidR="00FF6576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9D00E4">
              <w:rPr>
                <w:rFonts w:ascii="Arial" w:hAnsi="Arial"/>
                <w:sz w:val="20"/>
                <w:szCs w:val="20"/>
              </w:rPr>
              <w:t>Pendiente</w:t>
            </w:r>
          </w:p>
          <w:p w14:paraId="28B61996" w14:textId="1E8D1422" w:rsidR="00C57EB3" w:rsidRPr="00C57EB3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57EB3" w:rsidRPr="00C57EB3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C57EB3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C57EB3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9D00E4" w:rsidRPr="009D00E4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3D8" w14:textId="77777777" w:rsidR="002C6B38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9D00E4">
              <w:rPr>
                <w:rFonts w:ascii="Arial" w:hAnsi="Arial"/>
                <w:sz w:val="20"/>
                <w:szCs w:val="20"/>
              </w:rPr>
              <w:t>Pendiente</w:t>
            </w:r>
          </w:p>
          <w:p w14:paraId="3344E65F" w14:textId="187C6E0C" w:rsidR="00C57EB3" w:rsidRPr="009D00E4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color w:val="FF0000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14:paraId="615CBBEE" w14:textId="1C7D0672" w:rsidR="00076082" w:rsidRPr="00C422C0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C422C0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7825" w14:textId="77777777" w:rsidR="00D43D50" w:rsidRDefault="00D43D50" w:rsidP="00020DDF">
      <w:pPr>
        <w:spacing w:after="0" w:line="240" w:lineRule="auto"/>
      </w:pPr>
      <w:r>
        <w:separator/>
      </w:r>
    </w:p>
  </w:endnote>
  <w:endnote w:type="continuationSeparator" w:id="0">
    <w:p w14:paraId="54843E6B" w14:textId="77777777" w:rsidR="00D43D50" w:rsidRDefault="00D43D50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2040" w14:textId="77777777" w:rsidR="00D43D50" w:rsidRDefault="00D43D50" w:rsidP="00020DDF">
      <w:pPr>
        <w:spacing w:after="0" w:line="240" w:lineRule="auto"/>
      </w:pPr>
      <w:r>
        <w:separator/>
      </w:r>
    </w:p>
  </w:footnote>
  <w:footnote w:type="continuationSeparator" w:id="0">
    <w:p w14:paraId="51A1945F" w14:textId="77777777" w:rsidR="00D43D50" w:rsidRDefault="00D43D50" w:rsidP="00020DDF">
      <w:pPr>
        <w:spacing w:after="0" w:line="240" w:lineRule="auto"/>
      </w:pPr>
      <w:r>
        <w:continuationSeparator/>
      </w:r>
    </w:p>
  </w:footnote>
  <w:footnote w:id="1">
    <w:p w14:paraId="18681C51" w14:textId="77777777" w:rsidR="009D00E4" w:rsidRPr="008A3AF5" w:rsidRDefault="009D00E4" w:rsidP="009D00E4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3C14E3">
        <w:rPr>
          <w:rStyle w:val="Refdenotaalpie"/>
          <w:rFonts w:ascii="Arial" w:hAnsi="Arial"/>
          <w:sz w:val="16"/>
          <w:szCs w:val="16"/>
        </w:rPr>
        <w:footnoteRef/>
      </w:r>
      <w:r w:rsidRPr="003C14E3">
        <w:rPr>
          <w:rFonts w:ascii="Arial" w:hAnsi="Arial"/>
          <w:sz w:val="16"/>
          <w:szCs w:val="16"/>
        </w:rPr>
        <w:t xml:space="preserve"> </w:t>
      </w:r>
      <w:r w:rsidRPr="008A3AF5">
        <w:rPr>
          <w:rFonts w:ascii="Arial" w:hAnsi="Arial"/>
          <w:sz w:val="16"/>
          <w:szCs w:val="16"/>
          <w:lang w:val="es-PE"/>
        </w:rPr>
        <w:t>Artículo 3</w:t>
      </w:r>
      <w:r w:rsidRPr="003C14E3">
        <w:rPr>
          <w:rFonts w:ascii="Arial" w:hAnsi="Arial"/>
          <w:sz w:val="16"/>
          <w:szCs w:val="16"/>
          <w:lang w:val="es-PE"/>
        </w:rPr>
        <w:t>1</w:t>
      </w:r>
      <w:r w:rsidRPr="008A3AF5">
        <w:rPr>
          <w:rFonts w:ascii="Arial" w:hAnsi="Arial"/>
          <w:sz w:val="16"/>
          <w:szCs w:val="16"/>
          <w:lang w:val="es-PE"/>
        </w:rPr>
        <w:t xml:space="preserve"> de la Ley N° 30220, Ley Universitaria.</w:t>
      </w:r>
    </w:p>
  </w:footnote>
  <w:footnote w:id="2">
    <w:p w14:paraId="6D1309B8" w14:textId="77777777" w:rsidR="009D00E4" w:rsidRPr="008A3AF5" w:rsidRDefault="009D00E4" w:rsidP="009D00E4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8A3AF5">
        <w:rPr>
          <w:rStyle w:val="Refdenotaalpie"/>
          <w:rFonts w:ascii="Arial" w:hAnsi="Arial"/>
          <w:sz w:val="16"/>
          <w:szCs w:val="16"/>
        </w:rPr>
        <w:footnoteRef/>
      </w:r>
      <w:r w:rsidRPr="008A3AF5">
        <w:rPr>
          <w:rFonts w:ascii="Arial" w:hAnsi="Arial"/>
          <w:sz w:val="16"/>
          <w:szCs w:val="16"/>
        </w:rPr>
        <w:t xml:space="preserve"> </w:t>
      </w:r>
      <w:r w:rsidRPr="008A3AF5">
        <w:rPr>
          <w:rFonts w:ascii="Arial" w:hAnsi="Arial"/>
          <w:sz w:val="16"/>
          <w:szCs w:val="16"/>
          <w:lang w:val="es-PE"/>
        </w:rPr>
        <w:t>Artículo 38 de la Ley N° 30220, Ley Universitaria.</w:t>
      </w:r>
    </w:p>
  </w:footnote>
  <w:footnote w:id="3">
    <w:p w14:paraId="0E68BDD3" w14:textId="77777777" w:rsidR="009D00E4" w:rsidRPr="008A3AF5" w:rsidRDefault="009D00E4" w:rsidP="009D00E4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8A3AF5">
        <w:rPr>
          <w:rStyle w:val="Refdenotaalpie"/>
          <w:rFonts w:ascii="Arial" w:hAnsi="Arial"/>
          <w:sz w:val="16"/>
          <w:szCs w:val="16"/>
        </w:rPr>
        <w:footnoteRef/>
      </w:r>
      <w:r w:rsidRPr="008A3AF5">
        <w:rPr>
          <w:rFonts w:ascii="Arial" w:hAnsi="Arial"/>
          <w:sz w:val="16"/>
          <w:szCs w:val="16"/>
        </w:rPr>
        <w:t xml:space="preserve"> </w:t>
      </w:r>
      <w:r w:rsidRPr="008A3AF5">
        <w:rPr>
          <w:rFonts w:ascii="Arial" w:hAnsi="Arial"/>
          <w:sz w:val="16"/>
          <w:szCs w:val="16"/>
          <w:lang w:val="es-PE"/>
        </w:rPr>
        <w:t>Artículo 43 de la Ley N° 30220, Ley Universitaria</w:t>
      </w:r>
      <w:r w:rsidRPr="003C14E3">
        <w:rPr>
          <w:rFonts w:ascii="Arial" w:hAnsi="Arial"/>
          <w:sz w:val="16"/>
          <w:szCs w:val="16"/>
          <w:lang w:val="es-PE"/>
        </w:rPr>
        <w:t>.</w:t>
      </w:r>
    </w:p>
  </w:footnote>
  <w:footnote w:id="4">
    <w:p w14:paraId="6347035E" w14:textId="77777777" w:rsidR="009D00E4" w:rsidRPr="003C14E3" w:rsidRDefault="009D00E4" w:rsidP="009D00E4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3C14E3">
        <w:rPr>
          <w:rStyle w:val="Refdenotaalpie"/>
          <w:rFonts w:ascii="Arial" w:hAnsi="Arial"/>
          <w:sz w:val="16"/>
          <w:szCs w:val="16"/>
        </w:rPr>
        <w:footnoteRef/>
      </w:r>
      <w:r w:rsidRPr="003C14E3">
        <w:rPr>
          <w:rFonts w:ascii="Arial" w:hAnsi="Arial"/>
          <w:sz w:val="16"/>
          <w:szCs w:val="16"/>
        </w:rPr>
        <w:t xml:space="preserve"> </w:t>
      </w:r>
      <w:r w:rsidRPr="003C14E3">
        <w:rPr>
          <w:rFonts w:ascii="Arial" w:hAnsi="Arial"/>
          <w:sz w:val="16"/>
          <w:szCs w:val="16"/>
          <w:lang w:val="es-PE"/>
        </w:rPr>
        <w:t>Las Unidades y/o Escuelas de Postgrado se encuentran dentro de las Facultades. También pueden depender directamente de la Administración Central.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5B"/>
    <w:multiLevelType w:val="hybridMultilevel"/>
    <w:tmpl w:val="E20810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6B7"/>
    <w:multiLevelType w:val="hybridMultilevel"/>
    <w:tmpl w:val="93B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5B92"/>
    <w:multiLevelType w:val="hybridMultilevel"/>
    <w:tmpl w:val="6B5AE3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D4F"/>
    <w:multiLevelType w:val="hybridMultilevel"/>
    <w:tmpl w:val="1E7E1F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011B0"/>
    <w:multiLevelType w:val="hybridMultilevel"/>
    <w:tmpl w:val="90440F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2A64"/>
    <w:multiLevelType w:val="hybridMultilevel"/>
    <w:tmpl w:val="804EB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7A46"/>
    <w:multiLevelType w:val="hybridMultilevel"/>
    <w:tmpl w:val="269E04C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E089F"/>
    <w:multiLevelType w:val="hybridMultilevel"/>
    <w:tmpl w:val="E9B205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3C8C"/>
    <w:multiLevelType w:val="hybridMultilevel"/>
    <w:tmpl w:val="26C815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01521"/>
    <w:multiLevelType w:val="hybridMultilevel"/>
    <w:tmpl w:val="94725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2EC7"/>
    <w:multiLevelType w:val="hybridMultilevel"/>
    <w:tmpl w:val="78A4951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2E9E"/>
    <w:multiLevelType w:val="hybridMultilevel"/>
    <w:tmpl w:val="D61EE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9E4F04"/>
    <w:multiLevelType w:val="hybridMultilevel"/>
    <w:tmpl w:val="D688BE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1128"/>
    <w:multiLevelType w:val="hybridMultilevel"/>
    <w:tmpl w:val="993E6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431C"/>
    <w:multiLevelType w:val="hybridMultilevel"/>
    <w:tmpl w:val="B0AE8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65B3"/>
    <w:multiLevelType w:val="hybridMultilevel"/>
    <w:tmpl w:val="AA748E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4285A"/>
    <w:multiLevelType w:val="hybridMultilevel"/>
    <w:tmpl w:val="9C0029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666E8"/>
    <w:multiLevelType w:val="hybridMultilevel"/>
    <w:tmpl w:val="43B01E7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D5E82"/>
    <w:multiLevelType w:val="hybridMultilevel"/>
    <w:tmpl w:val="D8C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6950"/>
    <w:multiLevelType w:val="hybridMultilevel"/>
    <w:tmpl w:val="FCD40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0B22"/>
    <w:multiLevelType w:val="hybridMultilevel"/>
    <w:tmpl w:val="7D906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9"/>
  </w:num>
  <w:num w:numId="7">
    <w:abstractNumId w:val="14"/>
  </w:num>
  <w:num w:numId="8">
    <w:abstractNumId w:val="23"/>
  </w:num>
  <w:num w:numId="9">
    <w:abstractNumId w:val="3"/>
  </w:num>
  <w:num w:numId="10">
    <w:abstractNumId w:val="2"/>
  </w:num>
  <w:num w:numId="11">
    <w:abstractNumId w:val="11"/>
  </w:num>
  <w:num w:numId="12">
    <w:abstractNumId w:val="22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26"/>
  </w:num>
  <w:num w:numId="18">
    <w:abstractNumId w:val="24"/>
  </w:num>
  <w:num w:numId="19">
    <w:abstractNumId w:val="7"/>
  </w:num>
  <w:num w:numId="20">
    <w:abstractNumId w:val="8"/>
  </w:num>
  <w:num w:numId="21">
    <w:abstractNumId w:val="1"/>
  </w:num>
  <w:num w:numId="22">
    <w:abstractNumId w:val="21"/>
  </w:num>
  <w:num w:numId="23">
    <w:abstractNumId w:val="13"/>
  </w:num>
  <w:num w:numId="24">
    <w:abstractNumId w:val="12"/>
  </w:num>
  <w:num w:numId="25">
    <w:abstractNumId w:val="17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669C"/>
    <w:rsid w:val="00045EB3"/>
    <w:rsid w:val="00065771"/>
    <w:rsid w:val="00071462"/>
    <w:rsid w:val="00076082"/>
    <w:rsid w:val="000B702B"/>
    <w:rsid w:val="000C10E2"/>
    <w:rsid w:val="000F784E"/>
    <w:rsid w:val="001056C9"/>
    <w:rsid w:val="001125DA"/>
    <w:rsid w:val="00142865"/>
    <w:rsid w:val="00155F72"/>
    <w:rsid w:val="0015653C"/>
    <w:rsid w:val="00162C09"/>
    <w:rsid w:val="00167202"/>
    <w:rsid w:val="00171EB6"/>
    <w:rsid w:val="0019383D"/>
    <w:rsid w:val="001A24B5"/>
    <w:rsid w:val="001D5D9B"/>
    <w:rsid w:val="001E53BF"/>
    <w:rsid w:val="001E666F"/>
    <w:rsid w:val="001F59BD"/>
    <w:rsid w:val="00201772"/>
    <w:rsid w:val="00215A43"/>
    <w:rsid w:val="002175A0"/>
    <w:rsid w:val="002352E0"/>
    <w:rsid w:val="00246044"/>
    <w:rsid w:val="002512EA"/>
    <w:rsid w:val="0026508A"/>
    <w:rsid w:val="00293BB3"/>
    <w:rsid w:val="002C6B38"/>
    <w:rsid w:val="002D244C"/>
    <w:rsid w:val="0030016D"/>
    <w:rsid w:val="00325B1B"/>
    <w:rsid w:val="003261A2"/>
    <w:rsid w:val="00357844"/>
    <w:rsid w:val="00373F00"/>
    <w:rsid w:val="003B5C44"/>
    <w:rsid w:val="003C21ED"/>
    <w:rsid w:val="003C33F5"/>
    <w:rsid w:val="003E1B59"/>
    <w:rsid w:val="003E3225"/>
    <w:rsid w:val="003E3E91"/>
    <w:rsid w:val="003F22A5"/>
    <w:rsid w:val="003F69BC"/>
    <w:rsid w:val="004059F9"/>
    <w:rsid w:val="00421284"/>
    <w:rsid w:val="00442BBE"/>
    <w:rsid w:val="004569A9"/>
    <w:rsid w:val="004A211F"/>
    <w:rsid w:val="004B0AA4"/>
    <w:rsid w:val="004B73EC"/>
    <w:rsid w:val="004C4331"/>
    <w:rsid w:val="004E3726"/>
    <w:rsid w:val="004E552A"/>
    <w:rsid w:val="00501759"/>
    <w:rsid w:val="0050332F"/>
    <w:rsid w:val="005252CF"/>
    <w:rsid w:val="00573060"/>
    <w:rsid w:val="005A23AD"/>
    <w:rsid w:val="005C15A3"/>
    <w:rsid w:val="005E2882"/>
    <w:rsid w:val="005F2039"/>
    <w:rsid w:val="00616C93"/>
    <w:rsid w:val="00637FF0"/>
    <w:rsid w:val="00686F75"/>
    <w:rsid w:val="006A5398"/>
    <w:rsid w:val="007061A0"/>
    <w:rsid w:val="00714A93"/>
    <w:rsid w:val="007236D7"/>
    <w:rsid w:val="00746EB6"/>
    <w:rsid w:val="00785D71"/>
    <w:rsid w:val="00791B39"/>
    <w:rsid w:val="00791F61"/>
    <w:rsid w:val="007C4F1D"/>
    <w:rsid w:val="007E5285"/>
    <w:rsid w:val="00806383"/>
    <w:rsid w:val="00814517"/>
    <w:rsid w:val="0084371A"/>
    <w:rsid w:val="00847FB8"/>
    <w:rsid w:val="0085415B"/>
    <w:rsid w:val="00871BC1"/>
    <w:rsid w:val="008819C3"/>
    <w:rsid w:val="008853C5"/>
    <w:rsid w:val="00895F27"/>
    <w:rsid w:val="008A2BF7"/>
    <w:rsid w:val="008C2AC8"/>
    <w:rsid w:val="008E10DB"/>
    <w:rsid w:val="008E38B9"/>
    <w:rsid w:val="008E6B4E"/>
    <w:rsid w:val="008F534B"/>
    <w:rsid w:val="008F73FA"/>
    <w:rsid w:val="009002FB"/>
    <w:rsid w:val="00906072"/>
    <w:rsid w:val="009437D5"/>
    <w:rsid w:val="00960D24"/>
    <w:rsid w:val="009736FF"/>
    <w:rsid w:val="0099799F"/>
    <w:rsid w:val="009B732B"/>
    <w:rsid w:val="009D00E4"/>
    <w:rsid w:val="009E6B4A"/>
    <w:rsid w:val="009F4C6C"/>
    <w:rsid w:val="009F6EE7"/>
    <w:rsid w:val="00A12FCA"/>
    <w:rsid w:val="00A14B56"/>
    <w:rsid w:val="00A158EB"/>
    <w:rsid w:val="00A26138"/>
    <w:rsid w:val="00A42A6D"/>
    <w:rsid w:val="00A6796B"/>
    <w:rsid w:val="00A85514"/>
    <w:rsid w:val="00A93168"/>
    <w:rsid w:val="00AB0037"/>
    <w:rsid w:val="00AB3CA7"/>
    <w:rsid w:val="00AC6B83"/>
    <w:rsid w:val="00AD49F8"/>
    <w:rsid w:val="00B204D1"/>
    <w:rsid w:val="00B41C15"/>
    <w:rsid w:val="00B4744E"/>
    <w:rsid w:val="00B50C99"/>
    <w:rsid w:val="00B771B8"/>
    <w:rsid w:val="00B9559A"/>
    <w:rsid w:val="00B96A9B"/>
    <w:rsid w:val="00BA7B47"/>
    <w:rsid w:val="00BC367A"/>
    <w:rsid w:val="00BF1A66"/>
    <w:rsid w:val="00C1227D"/>
    <w:rsid w:val="00C15DC8"/>
    <w:rsid w:val="00C1645D"/>
    <w:rsid w:val="00C35814"/>
    <w:rsid w:val="00C40975"/>
    <w:rsid w:val="00C422C0"/>
    <w:rsid w:val="00C56226"/>
    <w:rsid w:val="00C57EB3"/>
    <w:rsid w:val="00C6406B"/>
    <w:rsid w:val="00C73B6D"/>
    <w:rsid w:val="00CA1718"/>
    <w:rsid w:val="00CA7D46"/>
    <w:rsid w:val="00CE2DB2"/>
    <w:rsid w:val="00D065BA"/>
    <w:rsid w:val="00D11639"/>
    <w:rsid w:val="00D16AA9"/>
    <w:rsid w:val="00D25D74"/>
    <w:rsid w:val="00D43D50"/>
    <w:rsid w:val="00D55E0A"/>
    <w:rsid w:val="00D57631"/>
    <w:rsid w:val="00D65129"/>
    <w:rsid w:val="00D67CD6"/>
    <w:rsid w:val="00D93115"/>
    <w:rsid w:val="00DB4C71"/>
    <w:rsid w:val="00DC436B"/>
    <w:rsid w:val="00DE2D8A"/>
    <w:rsid w:val="00DF1A12"/>
    <w:rsid w:val="00E01366"/>
    <w:rsid w:val="00E06F2E"/>
    <w:rsid w:val="00E11D2F"/>
    <w:rsid w:val="00E14782"/>
    <w:rsid w:val="00E2011E"/>
    <w:rsid w:val="00E5234F"/>
    <w:rsid w:val="00E57BA7"/>
    <w:rsid w:val="00E848B3"/>
    <w:rsid w:val="00EA344F"/>
    <w:rsid w:val="00EB2441"/>
    <w:rsid w:val="00EF7C8F"/>
    <w:rsid w:val="00F6484A"/>
    <w:rsid w:val="00F73883"/>
    <w:rsid w:val="00F82D3D"/>
    <w:rsid w:val="00F91C12"/>
    <w:rsid w:val="00FA37E3"/>
    <w:rsid w:val="00FC13DB"/>
    <w:rsid w:val="00FC7D43"/>
    <w:rsid w:val="00FD50DB"/>
    <w:rsid w:val="00FD759C"/>
    <w:rsid w:val="00FF384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155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E1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55</cp:revision>
  <dcterms:created xsi:type="dcterms:W3CDTF">2022-12-01T20:53:00Z</dcterms:created>
  <dcterms:modified xsi:type="dcterms:W3CDTF">2022-12-05T18:01:00Z</dcterms:modified>
</cp:coreProperties>
</file>