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18820" w14:textId="65AD5D20" w:rsidR="00385643" w:rsidRPr="00DF3B3A" w:rsidRDefault="00CC2619" w:rsidP="00597E7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8"/>
          <w:szCs w:val="20"/>
        </w:rPr>
        <w:t>INDICADOR 9</w:t>
      </w:r>
      <w:r w:rsidR="00385643" w:rsidRPr="00DF3B3A">
        <w:rPr>
          <w:rFonts w:ascii="Arial" w:hAnsi="Arial" w:cs="Arial"/>
          <w:b/>
          <w:sz w:val="28"/>
          <w:szCs w:val="20"/>
        </w:rPr>
        <w:t>:</w:t>
      </w:r>
      <w:r w:rsidR="00385643" w:rsidRPr="00DF3B3A">
        <w:rPr>
          <w:rFonts w:ascii="Arial" w:hAnsi="Arial" w:cs="Arial"/>
          <w:b/>
          <w:sz w:val="20"/>
          <w:szCs w:val="20"/>
        </w:rPr>
        <w:t xml:space="preserve"> </w:t>
      </w:r>
      <w:r w:rsidR="003167D9" w:rsidRPr="003167D9">
        <w:rPr>
          <w:rFonts w:ascii="Arial" w:hAnsi="Arial" w:cs="Arial"/>
          <w:sz w:val="20"/>
          <w:szCs w:val="20"/>
        </w:rPr>
        <w:t>Porcentaje de personas no matriculadas en Educación Básica Alternativa respecto a la demanda potencial</w:t>
      </w:r>
    </w:p>
    <w:p w14:paraId="1ED64FF3" w14:textId="77777777" w:rsidR="00597E78" w:rsidRDefault="00597E78" w:rsidP="00597E7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W w:w="89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5653"/>
      </w:tblGrid>
      <w:tr w:rsidR="00E51218" w:rsidRPr="00E51218" w14:paraId="4AF81CB8" w14:textId="77777777" w:rsidTr="00E5121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2A55" w14:textId="77777777" w:rsidR="00E51218" w:rsidRPr="00E51218" w:rsidRDefault="00E51218" w:rsidP="00E512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1218">
              <w:rPr>
                <w:rFonts w:ascii="Arial" w:hAnsi="Arial" w:cs="Arial"/>
                <w:b/>
                <w:sz w:val="20"/>
                <w:szCs w:val="20"/>
              </w:rPr>
              <w:t>Nombre de la entidad pública: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C610" w14:textId="77777777" w:rsidR="00E51218" w:rsidRPr="00E51218" w:rsidRDefault="00E51218" w:rsidP="00E5121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51218">
              <w:rPr>
                <w:rFonts w:ascii="Arial" w:hAnsi="Arial" w:cs="Arial"/>
                <w:bCs/>
                <w:sz w:val="20"/>
                <w:szCs w:val="20"/>
              </w:rPr>
              <w:t>Ministerio de Educación</w:t>
            </w:r>
          </w:p>
        </w:tc>
      </w:tr>
      <w:tr w:rsidR="00E51218" w:rsidRPr="00E51218" w14:paraId="3BF6CA0A" w14:textId="77777777" w:rsidTr="00E5121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8E92" w14:textId="77777777" w:rsidR="00E51218" w:rsidRPr="00E51218" w:rsidRDefault="00E51218" w:rsidP="00E512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1218">
              <w:rPr>
                <w:rFonts w:ascii="Arial" w:hAnsi="Arial" w:cs="Arial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34B4" w14:textId="475A6C8D" w:rsidR="00E51218" w:rsidRPr="00E51218" w:rsidRDefault="003167D9" w:rsidP="00E5121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15.02.19</w:t>
            </w:r>
          </w:p>
        </w:tc>
      </w:tr>
      <w:tr w:rsidR="00E51218" w:rsidRPr="00E51218" w14:paraId="46988AA6" w14:textId="77777777" w:rsidTr="00E5121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A3A6" w14:textId="77777777" w:rsidR="00E51218" w:rsidRPr="00E51218" w:rsidRDefault="00E51218" w:rsidP="00E512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1218">
              <w:rPr>
                <w:rFonts w:ascii="Arial" w:hAnsi="Arial" w:cs="Arial"/>
                <w:b/>
                <w:sz w:val="20"/>
                <w:szCs w:val="20"/>
              </w:rPr>
              <w:t>Sector: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CBC2" w14:textId="77777777" w:rsidR="00E51218" w:rsidRPr="00E51218" w:rsidRDefault="00E51218" w:rsidP="00E5121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51218">
              <w:rPr>
                <w:rFonts w:ascii="Arial" w:hAnsi="Arial" w:cs="Arial"/>
                <w:bCs/>
                <w:sz w:val="20"/>
                <w:szCs w:val="20"/>
              </w:rPr>
              <w:t>Educación</w:t>
            </w:r>
          </w:p>
        </w:tc>
      </w:tr>
      <w:tr w:rsidR="00E51218" w:rsidRPr="00E51218" w14:paraId="5ECA43C6" w14:textId="77777777" w:rsidTr="00E5121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CC7B" w14:textId="77777777" w:rsidR="00E51218" w:rsidRPr="00E51218" w:rsidRDefault="00E51218" w:rsidP="00E512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1218">
              <w:rPr>
                <w:rFonts w:ascii="Arial" w:hAnsi="Arial" w:cs="Arial"/>
                <w:b/>
                <w:sz w:val="20"/>
                <w:szCs w:val="20"/>
              </w:rPr>
              <w:t>Función: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8425" w14:textId="77777777" w:rsidR="00E51218" w:rsidRPr="00E51218" w:rsidRDefault="00E51218" w:rsidP="00E5121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51218">
              <w:rPr>
                <w:rFonts w:ascii="Arial" w:hAnsi="Arial" w:cs="Arial"/>
                <w:bCs/>
                <w:sz w:val="20"/>
                <w:szCs w:val="20"/>
              </w:rPr>
              <w:t>22 Educación</w:t>
            </w:r>
          </w:p>
        </w:tc>
      </w:tr>
      <w:tr w:rsidR="00E51218" w:rsidRPr="00E51218" w14:paraId="09AB4FD1" w14:textId="77777777" w:rsidTr="00E5121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F5F3" w14:textId="77777777" w:rsidR="00E51218" w:rsidRPr="00E51218" w:rsidRDefault="00E51218" w:rsidP="00E512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1218">
              <w:rPr>
                <w:rFonts w:ascii="Arial" w:hAnsi="Arial" w:cs="Arial"/>
                <w:b/>
                <w:sz w:val="20"/>
                <w:szCs w:val="20"/>
              </w:rPr>
              <w:t>División funcional: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17CA" w14:textId="77777777" w:rsidR="00E51218" w:rsidRPr="00E51218" w:rsidRDefault="00E51218" w:rsidP="00E5121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51218">
              <w:rPr>
                <w:rFonts w:ascii="Arial" w:hAnsi="Arial" w:cs="Arial"/>
                <w:bCs/>
                <w:sz w:val="20"/>
                <w:szCs w:val="20"/>
              </w:rPr>
              <w:t>047 Educación Básica</w:t>
            </w:r>
          </w:p>
        </w:tc>
      </w:tr>
      <w:tr w:rsidR="00E51218" w:rsidRPr="00E51218" w14:paraId="1C44D3F3" w14:textId="77777777" w:rsidTr="00E5121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B795" w14:textId="77777777" w:rsidR="00E51218" w:rsidRPr="00E51218" w:rsidRDefault="00E51218" w:rsidP="00E512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1218">
              <w:rPr>
                <w:rFonts w:ascii="Arial" w:hAnsi="Arial" w:cs="Arial"/>
                <w:b/>
                <w:sz w:val="20"/>
                <w:szCs w:val="20"/>
              </w:rPr>
              <w:t>Grupo funcional: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7A84" w14:textId="77777777" w:rsidR="00E51218" w:rsidRPr="00E51218" w:rsidRDefault="00E51218" w:rsidP="00E5121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51218">
              <w:rPr>
                <w:rFonts w:ascii="Arial" w:hAnsi="Arial" w:cs="Arial"/>
                <w:bCs/>
                <w:sz w:val="20"/>
                <w:szCs w:val="20"/>
              </w:rPr>
              <w:t>0106 Educación Básica Alternativa</w:t>
            </w:r>
          </w:p>
        </w:tc>
      </w:tr>
      <w:tr w:rsidR="00E51218" w:rsidRPr="00E51218" w14:paraId="3C9C7064" w14:textId="77777777" w:rsidTr="00E5121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DB62" w14:textId="77777777" w:rsidR="00E51218" w:rsidRPr="00E51218" w:rsidRDefault="00E51218" w:rsidP="00E512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1218">
              <w:rPr>
                <w:rFonts w:ascii="Arial" w:hAnsi="Arial" w:cs="Arial"/>
                <w:b/>
                <w:sz w:val="20"/>
                <w:szCs w:val="20"/>
              </w:rPr>
              <w:t>Servicio público asociado: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0ABB" w14:textId="77777777" w:rsidR="00E51218" w:rsidRPr="00E51218" w:rsidRDefault="00E51218" w:rsidP="00E5121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51218">
              <w:rPr>
                <w:rFonts w:ascii="Arial" w:hAnsi="Arial" w:cs="Arial"/>
                <w:bCs/>
                <w:sz w:val="20"/>
                <w:szCs w:val="20"/>
              </w:rPr>
              <w:t>Servicio de Educación Básica Alternativa</w:t>
            </w:r>
          </w:p>
        </w:tc>
      </w:tr>
      <w:tr w:rsidR="00E51218" w:rsidRPr="00E51218" w14:paraId="0BA7C56E" w14:textId="77777777" w:rsidTr="00E5121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789B" w14:textId="77777777" w:rsidR="00E51218" w:rsidRPr="00E51218" w:rsidRDefault="00E51218" w:rsidP="00E512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1218">
              <w:rPr>
                <w:rFonts w:ascii="Arial" w:hAnsi="Arial" w:cs="Arial"/>
                <w:b/>
                <w:sz w:val="20"/>
                <w:szCs w:val="20"/>
              </w:rPr>
              <w:t>Tipología del proyecto: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A8B4" w14:textId="1A621082" w:rsidR="00E51218" w:rsidRPr="00E51218" w:rsidRDefault="00B0206B" w:rsidP="00B0206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Educación Bá</w:t>
            </w:r>
            <w:r w:rsidR="00E51218" w:rsidRPr="00E51218">
              <w:rPr>
                <w:rFonts w:ascii="Arial" w:hAnsi="Arial" w:cs="Arial"/>
                <w:bCs/>
                <w:sz w:val="20"/>
                <w:szCs w:val="20"/>
              </w:rPr>
              <w:t xml:space="preserve">sica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E51218" w:rsidRPr="00E51218">
              <w:rPr>
                <w:rFonts w:ascii="Arial" w:hAnsi="Arial" w:cs="Arial"/>
                <w:bCs/>
                <w:sz w:val="20"/>
                <w:szCs w:val="20"/>
              </w:rPr>
              <w:t>lternativa</w:t>
            </w:r>
          </w:p>
        </w:tc>
      </w:tr>
    </w:tbl>
    <w:p w14:paraId="1EC5E12A" w14:textId="77777777" w:rsidR="00597E78" w:rsidRPr="00597E78" w:rsidRDefault="00597E78" w:rsidP="00597E78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W w:w="8925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25"/>
      </w:tblGrid>
      <w:tr w:rsidR="00682BDA" w:rsidRPr="00EF4BED" w14:paraId="31979B4E" w14:textId="77777777" w:rsidTr="00887C1E">
        <w:trPr>
          <w:trHeight w:val="1700"/>
        </w:trPr>
        <w:tc>
          <w:tcPr>
            <w:tcW w:w="5000" w:type="pct"/>
          </w:tcPr>
          <w:tbl>
            <w:tblPr>
              <w:tblW w:w="893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930"/>
            </w:tblGrid>
            <w:tr w:rsidR="007F5A0B" w:rsidRPr="00EF4BED" w14:paraId="6C61E6F9" w14:textId="77777777" w:rsidTr="00597E78">
              <w:tc>
                <w:tcPr>
                  <w:tcW w:w="5000" w:type="pct"/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3174F" w14:textId="78A8CE0B" w:rsidR="007F5A0B" w:rsidRPr="00AA74C0" w:rsidRDefault="00597E78" w:rsidP="00597E78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AA74C0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PROGRAMA PRESUPUESTAL</w:t>
                  </w:r>
                </w:p>
              </w:tc>
            </w:tr>
          </w:tbl>
          <w:p w14:paraId="02E6BDEB" w14:textId="6DB46952" w:rsidR="007F5A0B" w:rsidRPr="00AA74C0" w:rsidRDefault="007F5A0B" w:rsidP="00597E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682BDA" w:rsidRPr="00EF4BED" w14:paraId="3E662217" w14:textId="77777777" w:rsidTr="00597E78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10A3BB" w14:textId="062D314C" w:rsidR="00682BDA" w:rsidRPr="00AA74C0" w:rsidRDefault="00AA74C0" w:rsidP="00AA74C0">
                  <w:pPr>
                    <w:pStyle w:val="Prrafodelista1"/>
                    <w:spacing w:after="16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DEL INDICADOR</w:t>
                  </w:r>
                </w:p>
              </w:tc>
            </w:tr>
          </w:tbl>
          <w:p w14:paraId="43E41411" w14:textId="77777777" w:rsidR="00597E78" w:rsidRDefault="00597E78" w:rsidP="00597E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369F13" w14:textId="589A76E5" w:rsidR="00157F2E" w:rsidRDefault="003167D9" w:rsidP="00597E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3167D9">
              <w:rPr>
                <w:rFonts w:ascii="Arial" w:hAnsi="Arial" w:cs="Arial"/>
                <w:sz w:val="20"/>
                <w:szCs w:val="20"/>
              </w:rPr>
              <w:t xml:space="preserve">Porcentaje de personas no matriculadas en Educación Básica Alternativa respecto a la demanda potencial </w:t>
            </w:r>
            <w:r w:rsidR="00597E78">
              <w:rPr>
                <w:rFonts w:ascii="Arial" w:hAnsi="Arial" w:cs="Arial"/>
                <w:bCs/>
                <w:sz w:val="20"/>
                <w:szCs w:val="20"/>
                <w:lang w:val="es-MX"/>
              </w:rPr>
              <w:t>(</w:t>
            </w:r>
            <w:bookmarkStart w:id="0" w:name="_GoBack"/>
            <w:bookmarkEnd w:id="0"/>
            <w:r w:rsidR="00597E78">
              <w:rPr>
                <w:rFonts w:ascii="Arial" w:hAnsi="Arial" w:cs="Arial"/>
                <w:bCs/>
                <w:sz w:val="20"/>
                <w:szCs w:val="20"/>
                <w:lang w:val="es-MX"/>
              </w:rPr>
              <w:t>EBA)</w:t>
            </w:r>
          </w:p>
          <w:p w14:paraId="1FE2B52E" w14:textId="77777777" w:rsidR="00597E78" w:rsidRDefault="00597E78" w:rsidP="00597E7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597E78" w:rsidRPr="00326D8B" w14:paraId="52578259" w14:textId="77777777" w:rsidTr="00044F75">
              <w:tc>
                <w:tcPr>
                  <w:tcW w:w="5000" w:type="pct"/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B8B72A" w14:textId="6E206D91" w:rsidR="00597E78" w:rsidRPr="00AA74C0" w:rsidRDefault="00AA74C0" w:rsidP="00AA74C0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AMBITO DE CONTROL</w:t>
                  </w:r>
                </w:p>
              </w:tc>
            </w:tr>
          </w:tbl>
          <w:p w14:paraId="0230841A" w14:textId="77777777" w:rsidR="00597E78" w:rsidRPr="00AA74C0" w:rsidRDefault="00597E78" w:rsidP="00597E78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18"/>
              </w:rPr>
            </w:pPr>
          </w:p>
          <w:p w14:paraId="6A398397" w14:textId="450A5D3B" w:rsidR="00597E78" w:rsidRDefault="008407C0" w:rsidP="00597E78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18"/>
              </w:rPr>
            </w:pPr>
            <w:r>
              <w:rPr>
                <w:rFonts w:ascii="Arial" w:hAnsi="Arial"/>
                <w:bCs/>
                <w:sz w:val="20"/>
                <w:szCs w:val="18"/>
              </w:rPr>
              <w:t>Producto</w:t>
            </w:r>
            <w:r w:rsidR="00597E78" w:rsidRPr="00AA74C0">
              <w:rPr>
                <w:rFonts w:ascii="Arial" w:hAnsi="Arial"/>
                <w:bCs/>
                <w:sz w:val="20"/>
                <w:szCs w:val="18"/>
              </w:rPr>
              <w:t xml:space="preserve">: </w:t>
            </w:r>
            <w:r w:rsidR="00AA74C0">
              <w:rPr>
                <w:rFonts w:ascii="Arial" w:hAnsi="Arial"/>
                <w:bCs/>
                <w:sz w:val="20"/>
                <w:szCs w:val="18"/>
              </w:rPr>
              <w:t xml:space="preserve">Incremento de matriculados en </w:t>
            </w:r>
            <w:r w:rsidR="00597E78" w:rsidRPr="00AA74C0">
              <w:rPr>
                <w:rFonts w:ascii="Arial" w:hAnsi="Arial"/>
                <w:bCs/>
                <w:sz w:val="20"/>
                <w:szCs w:val="18"/>
              </w:rPr>
              <w:t xml:space="preserve">el servicio educativo de Educación </w:t>
            </w:r>
            <w:r w:rsidR="00AA74C0">
              <w:rPr>
                <w:rFonts w:ascii="Arial" w:hAnsi="Arial"/>
                <w:bCs/>
                <w:sz w:val="20"/>
                <w:szCs w:val="18"/>
              </w:rPr>
              <w:t>Básica Alternativa</w:t>
            </w:r>
          </w:p>
          <w:p w14:paraId="59836143" w14:textId="77777777" w:rsidR="00AA74C0" w:rsidRPr="00AA74C0" w:rsidRDefault="00AA74C0" w:rsidP="00597E78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597E78" w:rsidRPr="00326D8B" w14:paraId="58E83E97" w14:textId="77777777" w:rsidTr="00044F75">
              <w:trPr>
                <w:trHeight w:val="302"/>
              </w:trPr>
              <w:tc>
                <w:tcPr>
                  <w:tcW w:w="5000" w:type="pct"/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7A2B9F" w14:textId="39CBC852" w:rsidR="00597E78" w:rsidRPr="00326D8B" w:rsidRDefault="00597E78" w:rsidP="00AA74C0">
                  <w:pPr>
                    <w:spacing w:line="240" w:lineRule="auto"/>
                    <w:ind w:left="360"/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AA74C0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PLIEGOS QUE EJECUTAN ACCIONES EN EL MARCO DEL PROGRAMA PRESUPUESTAL</w:t>
                  </w:r>
                </w:p>
              </w:tc>
            </w:tr>
          </w:tbl>
          <w:p w14:paraId="329998E2" w14:textId="77777777" w:rsidR="00AA74C0" w:rsidRDefault="00AA74C0" w:rsidP="00597E78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</w:p>
          <w:p w14:paraId="4C4F6A95" w14:textId="4C7D6296" w:rsidR="00597E78" w:rsidRDefault="00AA74C0" w:rsidP="00597E78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  <w:r>
              <w:rPr>
                <w:rFonts w:ascii="Arial" w:hAnsi="Arial"/>
                <w:sz w:val="20"/>
                <w:szCs w:val="18"/>
              </w:rPr>
              <w:t>G</w:t>
            </w:r>
            <w:r w:rsidR="00597E78" w:rsidRPr="00AA74C0">
              <w:rPr>
                <w:rFonts w:ascii="Arial" w:hAnsi="Arial"/>
                <w:sz w:val="20"/>
                <w:szCs w:val="18"/>
              </w:rPr>
              <w:t xml:space="preserve">obierno </w:t>
            </w:r>
            <w:r>
              <w:rPr>
                <w:rFonts w:ascii="Arial" w:hAnsi="Arial"/>
                <w:sz w:val="20"/>
                <w:szCs w:val="18"/>
              </w:rPr>
              <w:t>Nacional, G</w:t>
            </w:r>
            <w:r w:rsidR="00597E78" w:rsidRPr="00AA74C0">
              <w:rPr>
                <w:rFonts w:ascii="Arial" w:hAnsi="Arial"/>
                <w:sz w:val="20"/>
                <w:szCs w:val="18"/>
              </w:rPr>
              <w:t>obierno</w:t>
            </w:r>
            <w:r>
              <w:rPr>
                <w:rFonts w:ascii="Arial" w:hAnsi="Arial"/>
                <w:sz w:val="20"/>
                <w:szCs w:val="18"/>
              </w:rPr>
              <w:t>s Regionales y</w:t>
            </w:r>
            <w:r w:rsidR="00253013">
              <w:rPr>
                <w:rFonts w:ascii="Arial" w:hAnsi="Arial"/>
                <w:sz w:val="20"/>
                <w:szCs w:val="18"/>
              </w:rPr>
              <w:t xml:space="preserve"> Gobiernos</w:t>
            </w:r>
            <w:r>
              <w:rPr>
                <w:rFonts w:ascii="Arial" w:hAnsi="Arial"/>
                <w:sz w:val="20"/>
                <w:szCs w:val="18"/>
              </w:rPr>
              <w:t xml:space="preserve"> Locales</w:t>
            </w:r>
          </w:p>
          <w:p w14:paraId="17C1C20E" w14:textId="77777777" w:rsidR="00AA74C0" w:rsidRPr="00AA74C0" w:rsidRDefault="00AA74C0" w:rsidP="00597E78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682BDA" w:rsidRPr="00EF4BED" w14:paraId="0D9CA899" w14:textId="77777777" w:rsidTr="00597E78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18A20" w14:textId="2EF8C554" w:rsidR="00682BDA" w:rsidRPr="00EF4BED" w:rsidRDefault="00597E78" w:rsidP="00597E78">
                  <w:pPr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DEFINICIÓN</w:t>
                  </w:r>
                </w:p>
              </w:tc>
            </w:tr>
          </w:tbl>
          <w:p w14:paraId="026AD028" w14:textId="77777777" w:rsidR="00597E78" w:rsidRDefault="00597E78" w:rsidP="00597E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A8BC8C" w14:textId="6A18D87A" w:rsidR="00597E78" w:rsidRDefault="00597E78" w:rsidP="00597E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indicador r</w:t>
            </w:r>
            <w:r w:rsidRPr="00326D8B">
              <w:rPr>
                <w:rFonts w:ascii="Arial" w:hAnsi="Arial" w:cs="Arial"/>
                <w:sz w:val="20"/>
                <w:szCs w:val="20"/>
              </w:rPr>
              <w:t>epresenta la demanda</w:t>
            </w:r>
            <w:r>
              <w:rPr>
                <w:rFonts w:ascii="Arial" w:hAnsi="Arial" w:cs="Arial"/>
                <w:sz w:val="20"/>
                <w:szCs w:val="20"/>
              </w:rPr>
              <w:t xml:space="preserve"> potencial no atendida con </w:t>
            </w:r>
            <w:r w:rsidRPr="00326D8B">
              <w:rPr>
                <w:rFonts w:ascii="Arial" w:hAnsi="Arial" w:cs="Arial"/>
                <w:sz w:val="20"/>
                <w:szCs w:val="20"/>
              </w:rPr>
              <w:t>el servicio</w:t>
            </w:r>
            <w:r>
              <w:rPr>
                <w:rFonts w:ascii="Arial" w:hAnsi="Arial" w:cs="Arial"/>
                <w:sz w:val="20"/>
                <w:szCs w:val="20"/>
              </w:rPr>
              <w:t xml:space="preserve"> de Educación Básica Alternativa</w:t>
            </w:r>
            <w:r w:rsidRPr="00326D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560ECB" w14:textId="77777777" w:rsidR="00597E78" w:rsidRDefault="00597E78" w:rsidP="00597E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5EDA79" w14:textId="77777777" w:rsidR="00AA74C0" w:rsidRDefault="00597E78" w:rsidP="00597E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FA3">
              <w:rPr>
                <w:rFonts w:ascii="Arial" w:hAnsi="Arial" w:cs="Arial"/>
                <w:sz w:val="20"/>
                <w:szCs w:val="20"/>
              </w:rPr>
              <w:t xml:space="preserve">La demanda potencial </w:t>
            </w:r>
            <w:r w:rsidR="00AA74C0">
              <w:rPr>
                <w:rFonts w:ascii="Arial" w:hAnsi="Arial" w:cs="Arial"/>
                <w:sz w:val="20"/>
                <w:szCs w:val="20"/>
              </w:rPr>
              <w:t>no atendida hace mención</w:t>
            </w:r>
            <w:r w:rsidRPr="00140FA3">
              <w:rPr>
                <w:rFonts w:ascii="Arial" w:hAnsi="Arial" w:cs="Arial"/>
                <w:sz w:val="20"/>
                <w:szCs w:val="20"/>
              </w:rPr>
              <w:t xml:space="preserve"> al grupo de la población de referencia con necesidades del servicio de Educación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0E5">
              <w:rPr>
                <w:rFonts w:ascii="Arial" w:hAnsi="Arial" w:cs="Arial"/>
                <w:sz w:val="20"/>
                <w:szCs w:val="20"/>
              </w:rPr>
              <w:t xml:space="preserve">Básica Alternativa, que en </w:t>
            </w:r>
            <w:r w:rsidR="00AA74C0">
              <w:rPr>
                <w:rFonts w:ascii="Arial" w:hAnsi="Arial" w:cs="Arial"/>
                <w:sz w:val="20"/>
                <w:szCs w:val="20"/>
              </w:rPr>
              <w:t>la actualidad no fueron provistas por el estado.</w:t>
            </w:r>
          </w:p>
          <w:p w14:paraId="57D8794E" w14:textId="77777777" w:rsidR="00AA74C0" w:rsidRDefault="00AA74C0" w:rsidP="00597E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33827D" w14:textId="3820A333" w:rsidR="006E0824" w:rsidRDefault="00224B52" w:rsidP="00224B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B52">
              <w:rPr>
                <w:rFonts w:ascii="Arial" w:hAnsi="Arial" w:cs="Arial"/>
                <w:sz w:val="20"/>
                <w:szCs w:val="20"/>
              </w:rPr>
              <w:t>La Educación Básica Alternativa está dirigida a estudiantes</w:t>
            </w:r>
            <w:r w:rsidR="00AA74C0">
              <w:rPr>
                <w:rFonts w:ascii="Arial" w:hAnsi="Arial" w:cs="Arial"/>
                <w:sz w:val="20"/>
                <w:szCs w:val="20"/>
              </w:rPr>
              <w:t xml:space="preserve"> con más de 15 años de edad</w:t>
            </w:r>
            <w:r w:rsidRPr="00224B52">
              <w:rPr>
                <w:rFonts w:ascii="Arial" w:hAnsi="Arial" w:cs="Arial"/>
                <w:sz w:val="20"/>
                <w:szCs w:val="20"/>
              </w:rPr>
              <w:t xml:space="preserve"> que no tuvieron acceso a la Educación</w:t>
            </w:r>
            <w:r w:rsidR="00AA7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C15">
              <w:rPr>
                <w:rFonts w:ascii="Arial" w:hAnsi="Arial" w:cs="Arial"/>
                <w:sz w:val="20"/>
                <w:szCs w:val="20"/>
              </w:rPr>
              <w:t xml:space="preserve">Básica Regular. </w:t>
            </w:r>
            <w:r w:rsidRPr="00224B52">
              <w:rPr>
                <w:rFonts w:ascii="Arial" w:hAnsi="Arial" w:cs="Arial"/>
                <w:sz w:val="20"/>
                <w:szCs w:val="20"/>
              </w:rPr>
              <w:t>Enfatiza la preparación para el trabajo y el desarrollo de capacidades empresariales.</w:t>
            </w:r>
            <w:r w:rsidR="00906C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4B52">
              <w:rPr>
                <w:rFonts w:ascii="Arial" w:hAnsi="Arial" w:cs="Arial"/>
                <w:sz w:val="20"/>
                <w:szCs w:val="20"/>
              </w:rPr>
              <w:t>La alfabetización está comprendida en la Educación Básica Alternativa. Se organiza (en programas)</w:t>
            </w:r>
            <w:r w:rsidR="00906C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4B52">
              <w:rPr>
                <w:rFonts w:ascii="Arial" w:hAnsi="Arial" w:cs="Arial"/>
                <w:sz w:val="20"/>
                <w:szCs w:val="20"/>
              </w:rPr>
              <w:t>flexiblemente en función de las necesidades y demandas específicas de los estudiantes.</w:t>
            </w:r>
          </w:p>
          <w:p w14:paraId="6F0BB084" w14:textId="77777777" w:rsidR="00906C15" w:rsidRDefault="00906C15" w:rsidP="00224B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6E0824" w:rsidRPr="00326D8B" w14:paraId="52CCC57D" w14:textId="77777777" w:rsidTr="00044F75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38CAE7" w14:textId="77777777" w:rsidR="006E0824" w:rsidRPr="00326D8B" w:rsidRDefault="006E0824" w:rsidP="006E0824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326D8B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DIMENSIÓN DE DESEMPEÑO</w:t>
                  </w:r>
                </w:p>
              </w:tc>
            </w:tr>
          </w:tbl>
          <w:p w14:paraId="14C12C2C" w14:textId="77777777" w:rsidR="006E0824" w:rsidRPr="00AA74C0" w:rsidRDefault="006E0824" w:rsidP="006E082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p w14:paraId="4E841E05" w14:textId="6E5FDD7F" w:rsidR="006E0824" w:rsidRDefault="006E0824" w:rsidP="006E082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  <w:r w:rsidRPr="00AA74C0">
              <w:rPr>
                <w:rFonts w:ascii="Arial" w:hAnsi="Arial"/>
                <w:sz w:val="20"/>
                <w:szCs w:val="20"/>
                <w:lang w:val="es-MX"/>
              </w:rPr>
              <w:t>El indicador es de brecha de cobertura y, puesto que mide la cobertura del servicio de Educación Básica Alternati</w:t>
            </w:r>
            <w:r w:rsidR="00AA74C0">
              <w:rPr>
                <w:rFonts w:ascii="Arial" w:hAnsi="Arial"/>
                <w:sz w:val="20"/>
                <w:szCs w:val="20"/>
                <w:lang w:val="es-MX"/>
              </w:rPr>
              <w:t>va, es un indicador de eficacia.</w:t>
            </w:r>
          </w:p>
          <w:p w14:paraId="6EC141F0" w14:textId="77777777" w:rsidR="00AA74C0" w:rsidRPr="00AA74C0" w:rsidRDefault="00AA74C0" w:rsidP="006E082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385643" w:rsidRPr="00E605BA" w14:paraId="0223923A" w14:textId="77777777" w:rsidTr="00597E78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CA2CBF" w14:textId="77777777" w:rsidR="00385643" w:rsidRPr="00E605BA" w:rsidRDefault="00385643" w:rsidP="006E0824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E605BA">
                    <w:rPr>
                      <w:rFonts w:ascii="Arial" w:hAnsi="Arial"/>
                      <w:sz w:val="18"/>
                      <w:szCs w:val="18"/>
                    </w:rPr>
                    <w:br w:type="page"/>
                  </w:r>
                  <w:r w:rsidRPr="006E0824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 xml:space="preserve">VALOR DEL INDICADOR </w:t>
                  </w:r>
                </w:p>
              </w:tc>
            </w:tr>
          </w:tbl>
          <w:p w14:paraId="29AD71B2" w14:textId="77777777" w:rsidR="00385643" w:rsidRPr="00AA74C0" w:rsidRDefault="00385643" w:rsidP="00AA7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FA3E2D" w14:textId="77777777" w:rsidR="003167D9" w:rsidRDefault="003167D9" w:rsidP="003167D9">
            <w:r>
              <w:rPr>
                <w:rFonts w:ascii="Arial" w:hAnsi="Arial"/>
                <w:sz w:val="20"/>
                <w:szCs w:val="20"/>
                <w:lang w:val="es-MX"/>
              </w:rPr>
              <w:t>De acuerdo al método del cálculo y las bases de datos actualizadas</w:t>
            </w:r>
          </w:p>
          <w:p w14:paraId="7B785427" w14:textId="77777777" w:rsidR="00385643" w:rsidRDefault="00385643" w:rsidP="00AA74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0748A5B" w14:textId="77777777" w:rsidR="003167D9" w:rsidRPr="00AA74C0" w:rsidRDefault="003167D9" w:rsidP="00AA74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385643" w:rsidRPr="00E605BA" w14:paraId="3047FCD9" w14:textId="77777777" w:rsidTr="00597E78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415ADF" w14:textId="77777777" w:rsidR="00385643" w:rsidRPr="00E605BA" w:rsidRDefault="00385643" w:rsidP="006E0824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6E0824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lastRenderedPageBreak/>
                    <w:t>JUSTIFICACIÓN</w:t>
                  </w:r>
                </w:p>
              </w:tc>
            </w:tr>
          </w:tbl>
          <w:p w14:paraId="54BBD085" w14:textId="77777777" w:rsidR="00385643" w:rsidRPr="007768DA" w:rsidRDefault="00385643" w:rsidP="006E0824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</w:p>
          <w:p w14:paraId="3BF1CA73" w14:textId="0E2E3FB1" w:rsidR="00224B52" w:rsidRDefault="00385643" w:rsidP="006E0824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  <w:r w:rsidRPr="007768DA">
              <w:rPr>
                <w:rFonts w:ascii="Arial" w:hAnsi="Arial"/>
                <w:sz w:val="20"/>
                <w:szCs w:val="18"/>
              </w:rPr>
              <w:t>Este indicador permite medir d</w:t>
            </w:r>
            <w:r w:rsidR="00632B84" w:rsidRPr="007768DA">
              <w:rPr>
                <w:rFonts w:ascii="Arial" w:hAnsi="Arial"/>
                <w:sz w:val="20"/>
                <w:szCs w:val="18"/>
              </w:rPr>
              <w:t xml:space="preserve">irectamente la brecha de </w:t>
            </w:r>
            <w:r w:rsidR="00906C15" w:rsidRPr="007768DA">
              <w:rPr>
                <w:rFonts w:ascii="Arial" w:hAnsi="Arial"/>
                <w:sz w:val="20"/>
                <w:szCs w:val="18"/>
              </w:rPr>
              <w:t>acceso</w:t>
            </w:r>
            <w:r w:rsidR="007768DA">
              <w:rPr>
                <w:rFonts w:ascii="Arial" w:hAnsi="Arial"/>
                <w:sz w:val="20"/>
                <w:szCs w:val="18"/>
              </w:rPr>
              <w:t xml:space="preserve"> a la educación básica a</w:t>
            </w:r>
            <w:r w:rsidRPr="007768DA">
              <w:rPr>
                <w:rFonts w:ascii="Arial" w:hAnsi="Arial"/>
                <w:sz w:val="20"/>
                <w:szCs w:val="18"/>
              </w:rPr>
              <w:t>lternativa, y consiguientemente el cierre de esta brecha está v</w:t>
            </w:r>
            <w:r w:rsidR="00632B84" w:rsidRPr="007768DA">
              <w:rPr>
                <w:rFonts w:ascii="Arial" w:hAnsi="Arial"/>
                <w:sz w:val="20"/>
                <w:szCs w:val="18"/>
              </w:rPr>
              <w:t>inculado directamente</w:t>
            </w:r>
            <w:r w:rsidR="007C7304" w:rsidRPr="007768DA">
              <w:rPr>
                <w:rFonts w:ascii="Arial" w:hAnsi="Arial"/>
                <w:sz w:val="20"/>
                <w:szCs w:val="18"/>
              </w:rPr>
              <w:t xml:space="preserve"> </w:t>
            </w:r>
            <w:r w:rsidR="00224B52" w:rsidRPr="007768DA">
              <w:rPr>
                <w:rFonts w:ascii="Arial" w:hAnsi="Arial"/>
                <w:sz w:val="20"/>
                <w:szCs w:val="18"/>
              </w:rPr>
              <w:t>con la ejecución de proyectos de inversión</w:t>
            </w:r>
            <w:r w:rsidR="007768DA">
              <w:rPr>
                <w:rFonts w:ascii="Arial" w:hAnsi="Arial"/>
                <w:sz w:val="20"/>
                <w:szCs w:val="18"/>
              </w:rPr>
              <w:t>.</w:t>
            </w:r>
          </w:p>
          <w:p w14:paraId="5F1B04CF" w14:textId="77777777" w:rsidR="007768DA" w:rsidRPr="007768DA" w:rsidRDefault="007768DA" w:rsidP="006E0824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385643" w:rsidRPr="007768DA" w14:paraId="49E9DA32" w14:textId="77777777" w:rsidTr="00597E78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66E15" w14:textId="77777777" w:rsidR="00385643" w:rsidRPr="007768DA" w:rsidRDefault="00385643" w:rsidP="006620CC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7768DA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LIMITACIONES Y SUPUESTOS EMPLEADOS</w:t>
                  </w:r>
                </w:p>
              </w:tc>
            </w:tr>
          </w:tbl>
          <w:p w14:paraId="2455E86E" w14:textId="0CEDEC7D" w:rsidR="007768DA" w:rsidRDefault="007768DA" w:rsidP="007768D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47A31053" w14:textId="73483284" w:rsidR="006620CC" w:rsidRDefault="006620CC" w:rsidP="007768D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620CC">
              <w:rPr>
                <w:rFonts w:ascii="Arial" w:hAnsi="Arial"/>
                <w:sz w:val="20"/>
                <w:szCs w:val="20"/>
              </w:rPr>
              <w:t>Pendiente, las limitaciones y supuestos empleados</w:t>
            </w:r>
            <w:r w:rsidR="003C4FEF">
              <w:rPr>
                <w:rFonts w:ascii="Arial" w:hAnsi="Arial"/>
                <w:sz w:val="20"/>
                <w:szCs w:val="20"/>
              </w:rPr>
              <w:t>,</w:t>
            </w:r>
            <w:r w:rsidRPr="006620CC">
              <w:rPr>
                <w:rFonts w:ascii="Arial" w:hAnsi="Arial"/>
                <w:sz w:val="20"/>
                <w:szCs w:val="20"/>
              </w:rPr>
              <w:t xml:space="preserve"> se identificarán </w:t>
            </w:r>
            <w:r>
              <w:rPr>
                <w:rFonts w:ascii="Arial" w:hAnsi="Arial"/>
                <w:sz w:val="20"/>
                <w:szCs w:val="20"/>
              </w:rPr>
              <w:t>cuando se calcule la línea base</w:t>
            </w:r>
          </w:p>
          <w:p w14:paraId="49C41A39" w14:textId="77777777" w:rsidR="00EB6D44" w:rsidRPr="007768DA" w:rsidRDefault="00EB6D44" w:rsidP="007768D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224B52" w:rsidRPr="00326D8B" w14:paraId="4EB0ACA5" w14:textId="77777777" w:rsidTr="00044F75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20CC5" w14:textId="77777777" w:rsidR="00224B52" w:rsidRPr="00326D8B" w:rsidRDefault="00224B52" w:rsidP="00224B52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326D8B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PRECISIONES TÉCNICAS</w:t>
                  </w:r>
                </w:p>
              </w:tc>
            </w:tr>
          </w:tbl>
          <w:p w14:paraId="2A7D6DA8" w14:textId="77777777" w:rsidR="00224B52" w:rsidRPr="007768DA" w:rsidRDefault="00224B52" w:rsidP="00224B52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E3591AF" w14:textId="10F9A4C7" w:rsidR="007768DA" w:rsidRPr="00EB6D44" w:rsidRDefault="006620CC" w:rsidP="00EB6D4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  <w:r w:rsidRPr="006620CC">
              <w:rPr>
                <w:rFonts w:ascii="Arial" w:hAnsi="Arial"/>
                <w:sz w:val="20"/>
                <w:szCs w:val="18"/>
              </w:rPr>
              <w:t xml:space="preserve">Pendiente, las precisiones técnicas se identificarán </w:t>
            </w:r>
            <w:r>
              <w:rPr>
                <w:rFonts w:ascii="Arial" w:hAnsi="Arial"/>
                <w:sz w:val="20"/>
                <w:szCs w:val="18"/>
              </w:rPr>
              <w:t>cuando se calcule la línea base</w:t>
            </w:r>
          </w:p>
          <w:p w14:paraId="5B3FD31D" w14:textId="77777777" w:rsidR="00EB6D44" w:rsidRPr="007768DA" w:rsidRDefault="00EB6D44" w:rsidP="00EB6D44">
            <w:pPr>
              <w:pStyle w:val="Prrafodelista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385643" w:rsidRPr="00E605BA" w14:paraId="68477F92" w14:textId="77777777" w:rsidTr="00597E78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DDB6B" w14:textId="77777777" w:rsidR="00385643" w:rsidRPr="00E605BA" w:rsidRDefault="00385643" w:rsidP="00224B52">
                  <w:pPr>
                    <w:keepNext/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224B52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MÉTODO DE CÁLCULO</w:t>
                  </w:r>
                </w:p>
              </w:tc>
            </w:tr>
          </w:tbl>
          <w:p w14:paraId="19F5ECDE" w14:textId="77777777" w:rsidR="00385643" w:rsidRPr="00224B52" w:rsidRDefault="00385643" w:rsidP="00224B52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  <w:lang w:val="es-MX"/>
              </w:rPr>
            </w:pPr>
          </w:p>
          <w:p w14:paraId="0A8CB88C" w14:textId="77777777" w:rsidR="00385643" w:rsidRDefault="00385643" w:rsidP="00224B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730">
              <w:rPr>
                <w:rFonts w:ascii="Arial" w:hAnsi="Arial" w:cs="Arial"/>
                <w:sz w:val="20"/>
                <w:szCs w:val="20"/>
              </w:rPr>
              <w:t>Para efectos de cálculo el indi</w:t>
            </w:r>
            <w:r>
              <w:rPr>
                <w:rFonts w:ascii="Arial" w:hAnsi="Arial" w:cs="Arial"/>
                <w:sz w:val="20"/>
                <w:szCs w:val="20"/>
              </w:rPr>
              <w:t>cador, esta será medida</w:t>
            </w:r>
            <w:r w:rsidRPr="00D02730">
              <w:rPr>
                <w:rFonts w:ascii="Arial" w:hAnsi="Arial" w:cs="Arial"/>
                <w:sz w:val="20"/>
                <w:szCs w:val="20"/>
              </w:rPr>
              <w:t xml:space="preserve"> de la siguiente forma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5FF72E" w14:textId="77777777" w:rsidR="00224B52" w:rsidRPr="006012C9" w:rsidRDefault="00224B52" w:rsidP="00224B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9099AA" w14:textId="52E0959E" w:rsidR="00385643" w:rsidRPr="007768DA" w:rsidRDefault="00132253" w:rsidP="00224B5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0"/>
                      </w:rPr>
                      <m:t>EBA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0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0"/>
                              </w:rPr>
                              <m:t>MA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0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0"/>
                              </w:rPr>
                              <m:t>DA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0"/>
                              </w:rPr>
                              <m:t>t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="Arial"/>
                    <w:sz w:val="24"/>
                    <w:szCs w:val="20"/>
                  </w:rPr>
                  <m:t>100%</m:t>
                </m:r>
              </m:oMath>
            </m:oMathPara>
          </w:p>
          <w:p w14:paraId="6F9A5B20" w14:textId="77777777" w:rsidR="00224B52" w:rsidRPr="00224B52" w:rsidRDefault="00224B52" w:rsidP="00224B5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D64018C" w14:textId="2BBB5434" w:rsidR="00385643" w:rsidRDefault="00132253" w:rsidP="00224B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Arial" w:cs="Arial"/>
                      <w:sz w:val="20"/>
                      <w:szCs w:val="20"/>
                    </w:rPr>
                    <m:t>EBA</m:t>
                  </m:r>
                </m:e>
                <m:sub>
                  <m:r>
                    <m:rPr>
                      <m:nor/>
                    </m:rPr>
                    <w:rPr>
                      <w:rFonts w:ascii="Arial" w:eastAsiaTheme="minorEastAsia" w:hAnsi="Arial" w:cs="Arial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385643" w:rsidRPr="00EF4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68DA" w:rsidRPr="00DF3B3A">
              <w:rPr>
                <w:rFonts w:ascii="Arial" w:hAnsi="Arial" w:cs="Arial"/>
                <w:sz w:val="20"/>
                <w:szCs w:val="20"/>
              </w:rPr>
              <w:t>Porcentaje de personas no matriculadas en Educación</w:t>
            </w:r>
            <w:r w:rsidR="007768DA" w:rsidRPr="00DF3B3A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Básica Alternativa</w:t>
            </w:r>
            <w:r w:rsidR="007768DA" w:rsidRPr="00DF3B3A">
              <w:rPr>
                <w:rFonts w:ascii="Arial" w:hAnsi="Arial" w:cs="Arial"/>
                <w:sz w:val="20"/>
                <w:szCs w:val="20"/>
              </w:rPr>
              <w:t xml:space="preserve"> respecto a la demanda potencial</w:t>
            </w:r>
            <w:r w:rsidR="00776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643">
              <w:rPr>
                <w:rFonts w:ascii="Arial" w:hAnsi="Arial" w:cs="Arial"/>
                <w:sz w:val="20"/>
                <w:szCs w:val="20"/>
              </w:rPr>
              <w:t>en el tiempo t</w:t>
            </w:r>
            <w:r w:rsidR="00385643" w:rsidRPr="00EF4BE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A6DC67" w14:textId="77777777" w:rsidR="00224B52" w:rsidRPr="00EF4BED" w:rsidRDefault="00224B52" w:rsidP="00224B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9C3C31" w14:textId="4C9A1D44" w:rsidR="00385643" w:rsidRDefault="00132253" w:rsidP="00224B5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Arial" w:cs="Arial"/>
                      <w:sz w:val="20"/>
                      <w:szCs w:val="20"/>
                    </w:rPr>
                    <m:t>MA</m:t>
                  </m:r>
                </m:e>
                <m:sub>
                  <m:r>
                    <m:rPr>
                      <m:nor/>
                    </m:rPr>
                    <w:rPr>
                      <w:rFonts w:ascii="Arial" w:eastAsiaTheme="minorEastAsia" w:hAnsi="Arial" w:cs="Arial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385643" w:rsidRPr="00EF4BED">
              <w:rPr>
                <w:rFonts w:ascii="Arial" w:eastAsiaTheme="minorEastAsia" w:hAnsi="Arial" w:cs="Arial"/>
                <w:sz w:val="20"/>
                <w:szCs w:val="20"/>
              </w:rPr>
              <w:t xml:space="preserve"> Número de personas matriculadas</w:t>
            </w:r>
            <w:r w:rsidR="00385643">
              <w:rPr>
                <w:rFonts w:ascii="Arial" w:eastAsiaTheme="minorEastAsia" w:hAnsi="Arial" w:cs="Arial"/>
                <w:sz w:val="20"/>
                <w:szCs w:val="20"/>
              </w:rPr>
              <w:t xml:space="preserve"> en el servicio de Educación Básica Alternativa</w:t>
            </w:r>
            <w:r w:rsidR="007768DA">
              <w:rPr>
                <w:rFonts w:ascii="Arial" w:eastAsiaTheme="minorEastAsia" w:hAnsi="Arial" w:cs="Arial"/>
                <w:sz w:val="20"/>
                <w:szCs w:val="20"/>
              </w:rPr>
              <w:t>,</w:t>
            </w:r>
            <w:r w:rsidR="00385643" w:rsidRPr="00EF4BED">
              <w:rPr>
                <w:rFonts w:ascii="Arial" w:eastAsiaTheme="minorEastAsia" w:hAnsi="Arial" w:cs="Arial"/>
                <w:sz w:val="20"/>
                <w:szCs w:val="20"/>
              </w:rPr>
              <w:t xml:space="preserve"> en el tiempo t.</w:t>
            </w:r>
          </w:p>
          <w:p w14:paraId="0F6225FA" w14:textId="77777777" w:rsidR="00224B52" w:rsidRPr="00EF4BED" w:rsidRDefault="00224B52" w:rsidP="00224B5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4BDDFAA" w14:textId="73FF84C3" w:rsidR="00385643" w:rsidRDefault="00132253" w:rsidP="00224B5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Arial" w:cs="Arial"/>
                      <w:sz w:val="20"/>
                      <w:szCs w:val="20"/>
                    </w:rPr>
                    <m:t>DA</m:t>
                  </m:r>
                </m:e>
                <m:sub>
                  <m:r>
                    <m:rPr>
                      <m:nor/>
                    </m:rPr>
                    <w:rPr>
                      <w:rFonts w:ascii="Arial" w:eastAsiaTheme="minorEastAsia" w:hAnsi="Arial" w:cs="Arial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385643" w:rsidRPr="00EF4BED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7768DA" w:rsidRPr="00AA74C0">
              <w:rPr>
                <w:rFonts w:ascii="Arial" w:eastAsiaTheme="minorEastAsia" w:hAnsi="Arial" w:cs="Arial"/>
                <w:sz w:val="20"/>
                <w:szCs w:val="20"/>
              </w:rPr>
              <w:t xml:space="preserve">Demanda potencial </w:t>
            </w:r>
            <w:r w:rsidR="007768DA">
              <w:rPr>
                <w:rFonts w:ascii="Arial" w:eastAsiaTheme="minorEastAsia" w:hAnsi="Arial" w:cs="Arial"/>
                <w:sz w:val="20"/>
                <w:szCs w:val="20"/>
              </w:rPr>
              <w:t>(expresado en número de postulantes</w:t>
            </w:r>
            <w:r w:rsidR="007768DA" w:rsidRPr="00AA74C0">
              <w:rPr>
                <w:rFonts w:ascii="Arial" w:eastAsiaTheme="minorEastAsia" w:hAnsi="Arial" w:cs="Arial"/>
                <w:sz w:val="20"/>
                <w:szCs w:val="20"/>
              </w:rPr>
              <w:t>) del servicio de Educación Básica Alternativa</w:t>
            </w:r>
            <w:r w:rsidR="007768DA">
              <w:rPr>
                <w:rFonts w:ascii="Arial" w:eastAsiaTheme="minorEastAsia" w:hAnsi="Arial" w:cs="Arial"/>
                <w:sz w:val="20"/>
                <w:szCs w:val="20"/>
              </w:rPr>
              <w:t>,</w:t>
            </w:r>
            <w:r w:rsidR="007768DA" w:rsidRPr="00EF4BED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385643" w:rsidRPr="00EF4BED">
              <w:rPr>
                <w:rFonts w:ascii="Arial" w:eastAsiaTheme="minorEastAsia" w:hAnsi="Arial" w:cs="Arial"/>
                <w:sz w:val="20"/>
                <w:szCs w:val="20"/>
              </w:rPr>
              <w:t>en el tiempo t.</w:t>
            </w:r>
          </w:p>
          <w:p w14:paraId="66995286" w14:textId="77777777" w:rsidR="00385643" w:rsidRPr="00E605BA" w:rsidRDefault="00385643" w:rsidP="007768DA">
            <w:pPr>
              <w:spacing w:after="0" w:line="24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385643" w:rsidRPr="00E605BA" w14:paraId="4839ADC5" w14:textId="77777777" w:rsidTr="00597E78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FFBE71" w14:textId="77777777" w:rsidR="00385643" w:rsidRPr="00E605BA" w:rsidRDefault="00385643" w:rsidP="00224B52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224B52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PERIODICIDAD DE LAS MEDICIONES</w:t>
                  </w:r>
                </w:p>
              </w:tc>
            </w:tr>
          </w:tbl>
          <w:p w14:paraId="1088E101" w14:textId="77777777" w:rsidR="00766711" w:rsidRPr="006620CC" w:rsidRDefault="00766711" w:rsidP="006620CC">
            <w:pPr>
              <w:spacing w:after="0" w:line="240" w:lineRule="auto"/>
              <w:jc w:val="both"/>
              <w:rPr>
                <w:rFonts w:ascii="Arial" w:hAnsi="Arial"/>
                <w:szCs w:val="18"/>
              </w:rPr>
            </w:pPr>
          </w:p>
          <w:p w14:paraId="0353E87E" w14:textId="77777777" w:rsidR="000330D4" w:rsidRPr="006620CC" w:rsidRDefault="000330D4" w:rsidP="006620CC">
            <w:pPr>
              <w:spacing w:after="0" w:line="240" w:lineRule="auto"/>
              <w:rPr>
                <w:rFonts w:ascii="Arial" w:hAnsi="Arial"/>
                <w:sz w:val="20"/>
                <w:szCs w:val="18"/>
              </w:rPr>
            </w:pPr>
            <w:r w:rsidRPr="006620CC">
              <w:rPr>
                <w:rFonts w:ascii="Arial" w:hAnsi="Arial"/>
                <w:sz w:val="20"/>
                <w:szCs w:val="18"/>
              </w:rPr>
              <w:t>Pendiente, debido a la falta de bases de datos que permita realizar los cálculos del indicador</w:t>
            </w:r>
          </w:p>
          <w:p w14:paraId="10F8F579" w14:textId="77777777" w:rsidR="00766711" w:rsidRPr="006620CC" w:rsidRDefault="00766711" w:rsidP="006620CC">
            <w:pPr>
              <w:spacing w:after="0" w:line="240" w:lineRule="auto"/>
              <w:jc w:val="both"/>
              <w:rPr>
                <w:rFonts w:ascii="Arial" w:hAnsi="Arial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6E0824" w:rsidRPr="00EF4BED" w14:paraId="58A129D0" w14:textId="77777777" w:rsidTr="00044F75">
              <w:trPr>
                <w:trHeight w:val="230"/>
              </w:trPr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202C5" w14:textId="5A3D2B91" w:rsidR="006E0824" w:rsidRPr="00EF4BED" w:rsidRDefault="00766711" w:rsidP="00224B52">
                  <w:pPr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FUENTE DE DATOS</w:t>
                  </w:r>
                </w:p>
              </w:tc>
            </w:tr>
          </w:tbl>
          <w:p w14:paraId="58D053F7" w14:textId="361F7E18" w:rsidR="006E0824" w:rsidRPr="006620CC" w:rsidRDefault="006E0824" w:rsidP="006620CC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</w:p>
          <w:p w14:paraId="450ADCE0" w14:textId="77777777" w:rsidR="000330D4" w:rsidRPr="006620CC" w:rsidRDefault="000330D4" w:rsidP="006620CC">
            <w:pPr>
              <w:spacing w:after="0" w:line="240" w:lineRule="auto"/>
              <w:rPr>
                <w:rFonts w:ascii="Arial" w:hAnsi="Arial"/>
                <w:sz w:val="20"/>
                <w:szCs w:val="18"/>
              </w:rPr>
            </w:pPr>
            <w:r w:rsidRPr="006620CC">
              <w:rPr>
                <w:rFonts w:ascii="Arial" w:hAnsi="Arial"/>
                <w:sz w:val="20"/>
                <w:szCs w:val="18"/>
              </w:rPr>
              <w:t>Pendiente, debido a la falta de bases de datos que permita realizar los cálculos del indicador</w:t>
            </w:r>
          </w:p>
          <w:p w14:paraId="35FEB7D9" w14:textId="77777777" w:rsidR="00EB6D44" w:rsidRPr="006620CC" w:rsidRDefault="00EB6D44" w:rsidP="006620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385643" w:rsidRPr="00E605BA" w14:paraId="1D21CF61" w14:textId="77777777" w:rsidTr="00597E78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C5BFC" w14:textId="77777777" w:rsidR="00385643" w:rsidRPr="006620CC" w:rsidRDefault="00385643" w:rsidP="006620CC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6620CC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BASE DE DATOS</w:t>
                  </w:r>
                </w:p>
              </w:tc>
            </w:tr>
          </w:tbl>
          <w:p w14:paraId="09F15423" w14:textId="77777777" w:rsidR="00906C15" w:rsidRPr="006620CC" w:rsidRDefault="00906C15" w:rsidP="006620C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</w:p>
          <w:p w14:paraId="4CC85292" w14:textId="77777777" w:rsidR="000330D4" w:rsidRPr="006620CC" w:rsidRDefault="000330D4" w:rsidP="006620CC">
            <w:pPr>
              <w:spacing w:after="0" w:line="240" w:lineRule="auto"/>
              <w:rPr>
                <w:rFonts w:ascii="Arial" w:hAnsi="Arial"/>
                <w:sz w:val="20"/>
                <w:szCs w:val="18"/>
              </w:rPr>
            </w:pPr>
            <w:r w:rsidRPr="006620CC">
              <w:rPr>
                <w:rFonts w:ascii="Arial" w:hAnsi="Arial"/>
                <w:sz w:val="20"/>
                <w:szCs w:val="18"/>
              </w:rPr>
              <w:t>Pendiente, debido a la falta de bases de datos que permita realizar los cálculos del indicador</w:t>
            </w:r>
          </w:p>
          <w:p w14:paraId="6BF2A69B" w14:textId="77777777" w:rsidR="00EB6D44" w:rsidRPr="006620CC" w:rsidRDefault="00EB6D44" w:rsidP="006620C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385643" w:rsidRPr="00E605BA" w14:paraId="1276C1D9" w14:textId="77777777" w:rsidTr="00597E78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524039" w14:textId="77777777" w:rsidR="00385643" w:rsidRPr="00E605BA" w:rsidRDefault="00385643" w:rsidP="00F003C8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F003C8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INSTRUMENTO DE RECOLECCIÓN DE INFORMACIÓN</w:t>
                  </w:r>
                </w:p>
              </w:tc>
            </w:tr>
          </w:tbl>
          <w:p w14:paraId="267617E1" w14:textId="77777777" w:rsidR="00F003C8" w:rsidRPr="006620CC" w:rsidRDefault="00F003C8" w:rsidP="006620CC">
            <w:pPr>
              <w:spacing w:after="0" w:line="240" w:lineRule="auto"/>
              <w:jc w:val="both"/>
              <w:rPr>
                <w:rFonts w:ascii="Arial" w:hAnsi="Arial"/>
                <w:szCs w:val="18"/>
              </w:rPr>
            </w:pPr>
          </w:p>
          <w:p w14:paraId="3C1489AD" w14:textId="77777777" w:rsidR="000330D4" w:rsidRPr="006620CC" w:rsidRDefault="000330D4" w:rsidP="006620CC">
            <w:pPr>
              <w:spacing w:after="0" w:line="240" w:lineRule="auto"/>
              <w:rPr>
                <w:rFonts w:ascii="Arial" w:hAnsi="Arial"/>
                <w:sz w:val="20"/>
                <w:szCs w:val="18"/>
              </w:rPr>
            </w:pPr>
            <w:r w:rsidRPr="006620CC">
              <w:rPr>
                <w:rFonts w:ascii="Arial" w:hAnsi="Arial"/>
                <w:sz w:val="20"/>
                <w:szCs w:val="18"/>
              </w:rPr>
              <w:t>Pendiente, debido a la falta de bases de datos que permita realizar los cálculos del indicador</w:t>
            </w:r>
          </w:p>
          <w:p w14:paraId="1B43F9FA" w14:textId="77777777" w:rsidR="00766711" w:rsidRPr="006620CC" w:rsidRDefault="00766711" w:rsidP="006620CC">
            <w:pPr>
              <w:spacing w:after="0" w:line="240" w:lineRule="auto"/>
              <w:jc w:val="both"/>
              <w:rPr>
                <w:rFonts w:ascii="Arial" w:hAnsi="Arial"/>
                <w:szCs w:val="18"/>
              </w:rPr>
            </w:pPr>
          </w:p>
          <w:tbl>
            <w:tblPr>
              <w:tblW w:w="8579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579"/>
            </w:tblGrid>
            <w:tr w:rsidR="00385643" w:rsidRPr="00E605BA" w14:paraId="7FF33C44" w14:textId="77777777" w:rsidTr="00597E78">
              <w:trPr>
                <w:trHeight w:val="317"/>
              </w:trPr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FCDB3" w14:textId="77777777" w:rsidR="00385643" w:rsidRPr="00E605BA" w:rsidRDefault="00385643" w:rsidP="00F003C8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F003C8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SINTAXIS</w:t>
                  </w:r>
                </w:p>
              </w:tc>
            </w:tr>
          </w:tbl>
          <w:p w14:paraId="08027B48" w14:textId="77777777" w:rsidR="00766711" w:rsidRDefault="00766711" w:rsidP="006620C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F27521" w14:textId="77777777" w:rsidR="000330D4" w:rsidRDefault="000330D4" w:rsidP="006620CC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7F5C1E">
              <w:rPr>
                <w:rFonts w:ascii="Arial" w:hAnsi="Arial"/>
                <w:sz w:val="18"/>
                <w:szCs w:val="18"/>
              </w:rPr>
              <w:t>Pendiente</w:t>
            </w:r>
            <w:r>
              <w:rPr>
                <w:rFonts w:ascii="Arial" w:hAnsi="Arial"/>
                <w:sz w:val="18"/>
                <w:szCs w:val="18"/>
              </w:rPr>
              <w:t>, debido a la falta de bases de datos que permita realizar los cálculos del indicador</w:t>
            </w:r>
          </w:p>
          <w:p w14:paraId="315C00CE" w14:textId="08072555" w:rsidR="00766711" w:rsidRPr="00766711" w:rsidRDefault="00766711" w:rsidP="0076671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2DC938" w14:textId="3A92F5C6" w:rsidR="00682BDA" w:rsidRPr="00EF4BED" w:rsidRDefault="00682BDA" w:rsidP="00EF4BED">
      <w:pPr>
        <w:spacing w:after="0" w:line="240" w:lineRule="auto"/>
        <w:rPr>
          <w:sz w:val="20"/>
          <w:szCs w:val="20"/>
        </w:rPr>
      </w:pPr>
    </w:p>
    <w:sectPr w:rsidR="00682BDA" w:rsidRPr="00EF4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7BD"/>
    <w:multiLevelType w:val="hybridMultilevel"/>
    <w:tmpl w:val="5680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64ED"/>
    <w:multiLevelType w:val="hybridMultilevel"/>
    <w:tmpl w:val="353489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5840"/>
    <w:multiLevelType w:val="hybridMultilevel"/>
    <w:tmpl w:val="C3065C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B7DB9"/>
    <w:multiLevelType w:val="hybridMultilevel"/>
    <w:tmpl w:val="D6122632"/>
    <w:lvl w:ilvl="0" w:tplc="425634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A01E8D"/>
    <w:multiLevelType w:val="hybridMultilevel"/>
    <w:tmpl w:val="6C62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86486"/>
    <w:multiLevelType w:val="hybridMultilevel"/>
    <w:tmpl w:val="655281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82672"/>
    <w:multiLevelType w:val="hybridMultilevel"/>
    <w:tmpl w:val="2D0A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F37CB"/>
    <w:multiLevelType w:val="hybridMultilevel"/>
    <w:tmpl w:val="4FC6D2A2"/>
    <w:lvl w:ilvl="0" w:tplc="F98AD7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D1AF8"/>
    <w:multiLevelType w:val="hybridMultilevel"/>
    <w:tmpl w:val="8A86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56C85"/>
    <w:multiLevelType w:val="hybridMultilevel"/>
    <w:tmpl w:val="D9867C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633845"/>
    <w:multiLevelType w:val="hybridMultilevel"/>
    <w:tmpl w:val="0E2C070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27F58"/>
    <w:multiLevelType w:val="hybridMultilevel"/>
    <w:tmpl w:val="7D20A5C0"/>
    <w:lvl w:ilvl="0" w:tplc="F98AD7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1018D"/>
    <w:multiLevelType w:val="hybridMultilevel"/>
    <w:tmpl w:val="7E02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E5C53"/>
    <w:multiLevelType w:val="hybridMultilevel"/>
    <w:tmpl w:val="5DDC2224"/>
    <w:lvl w:ilvl="0" w:tplc="F98AD7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22E1B"/>
    <w:multiLevelType w:val="hybridMultilevel"/>
    <w:tmpl w:val="0E44941A"/>
    <w:lvl w:ilvl="0" w:tplc="F98AD7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843E4"/>
    <w:multiLevelType w:val="hybridMultilevel"/>
    <w:tmpl w:val="8F90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42620"/>
    <w:multiLevelType w:val="hybridMultilevel"/>
    <w:tmpl w:val="E8D85226"/>
    <w:lvl w:ilvl="0" w:tplc="42563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94A66"/>
    <w:multiLevelType w:val="hybridMultilevel"/>
    <w:tmpl w:val="F4BA03C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A0E7F"/>
    <w:multiLevelType w:val="hybridMultilevel"/>
    <w:tmpl w:val="6D90C528"/>
    <w:lvl w:ilvl="0" w:tplc="0EF09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9C7C14"/>
    <w:multiLevelType w:val="hybridMultilevel"/>
    <w:tmpl w:val="CF7C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8555F"/>
    <w:multiLevelType w:val="hybridMultilevel"/>
    <w:tmpl w:val="FB7EB0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F2B9A"/>
    <w:multiLevelType w:val="hybridMultilevel"/>
    <w:tmpl w:val="0400DD5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AC6CAA"/>
    <w:multiLevelType w:val="hybridMultilevel"/>
    <w:tmpl w:val="AEA457AE"/>
    <w:lvl w:ilvl="0" w:tplc="425634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283556"/>
    <w:multiLevelType w:val="hybridMultilevel"/>
    <w:tmpl w:val="DE40F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A1138"/>
    <w:multiLevelType w:val="hybridMultilevel"/>
    <w:tmpl w:val="CB925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33849"/>
    <w:multiLevelType w:val="hybridMultilevel"/>
    <w:tmpl w:val="1F625D1A"/>
    <w:lvl w:ilvl="0" w:tplc="F98AD7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D7F3E"/>
    <w:multiLevelType w:val="hybridMultilevel"/>
    <w:tmpl w:val="5DE224C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E2522"/>
    <w:multiLevelType w:val="hybridMultilevel"/>
    <w:tmpl w:val="722A17D4"/>
    <w:lvl w:ilvl="0" w:tplc="425634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22"/>
  </w:num>
  <w:num w:numId="4">
    <w:abstractNumId w:val="26"/>
  </w:num>
  <w:num w:numId="5">
    <w:abstractNumId w:val="17"/>
  </w:num>
  <w:num w:numId="6">
    <w:abstractNumId w:val="16"/>
  </w:num>
  <w:num w:numId="7">
    <w:abstractNumId w:val="2"/>
  </w:num>
  <w:num w:numId="8">
    <w:abstractNumId w:val="3"/>
  </w:num>
  <w:num w:numId="9">
    <w:abstractNumId w:val="21"/>
  </w:num>
  <w:num w:numId="10">
    <w:abstractNumId w:val="1"/>
  </w:num>
  <w:num w:numId="11">
    <w:abstractNumId w:val="20"/>
  </w:num>
  <w:num w:numId="12">
    <w:abstractNumId w:val="9"/>
  </w:num>
  <w:num w:numId="13">
    <w:abstractNumId w:val="10"/>
  </w:num>
  <w:num w:numId="14">
    <w:abstractNumId w:val="24"/>
  </w:num>
  <w:num w:numId="15">
    <w:abstractNumId w:val="13"/>
  </w:num>
  <w:num w:numId="16">
    <w:abstractNumId w:val="11"/>
  </w:num>
  <w:num w:numId="17">
    <w:abstractNumId w:val="7"/>
  </w:num>
  <w:num w:numId="18">
    <w:abstractNumId w:val="14"/>
  </w:num>
  <w:num w:numId="19">
    <w:abstractNumId w:val="25"/>
  </w:num>
  <w:num w:numId="20">
    <w:abstractNumId w:val="5"/>
  </w:num>
  <w:num w:numId="21">
    <w:abstractNumId w:val="18"/>
  </w:num>
  <w:num w:numId="22">
    <w:abstractNumId w:val="23"/>
  </w:num>
  <w:num w:numId="23">
    <w:abstractNumId w:val="0"/>
  </w:num>
  <w:num w:numId="24">
    <w:abstractNumId w:val="4"/>
  </w:num>
  <w:num w:numId="25">
    <w:abstractNumId w:val="12"/>
  </w:num>
  <w:num w:numId="26">
    <w:abstractNumId w:val="19"/>
  </w:num>
  <w:num w:numId="27">
    <w:abstractNumId w:val="6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DA"/>
    <w:rsid w:val="00004474"/>
    <w:rsid w:val="00011DB2"/>
    <w:rsid w:val="00026AC9"/>
    <w:rsid w:val="000330D4"/>
    <w:rsid w:val="0005636C"/>
    <w:rsid w:val="00057412"/>
    <w:rsid w:val="00065977"/>
    <w:rsid w:val="000716C5"/>
    <w:rsid w:val="00076283"/>
    <w:rsid w:val="00081FDC"/>
    <w:rsid w:val="00086424"/>
    <w:rsid w:val="000C3D80"/>
    <w:rsid w:val="000F4BD4"/>
    <w:rsid w:val="0011655D"/>
    <w:rsid w:val="00116CF8"/>
    <w:rsid w:val="00132253"/>
    <w:rsid w:val="00146958"/>
    <w:rsid w:val="00157F2E"/>
    <w:rsid w:val="001930B6"/>
    <w:rsid w:val="001A48D2"/>
    <w:rsid w:val="001C044D"/>
    <w:rsid w:val="0021418D"/>
    <w:rsid w:val="00224B52"/>
    <w:rsid w:val="00252EA1"/>
    <w:rsid w:val="00253013"/>
    <w:rsid w:val="002F4F27"/>
    <w:rsid w:val="002F5BD9"/>
    <w:rsid w:val="002F75D5"/>
    <w:rsid w:val="003167D9"/>
    <w:rsid w:val="00375F02"/>
    <w:rsid w:val="00380115"/>
    <w:rsid w:val="00385643"/>
    <w:rsid w:val="003A3714"/>
    <w:rsid w:val="003C4FEF"/>
    <w:rsid w:val="003F3BC3"/>
    <w:rsid w:val="003F4BD7"/>
    <w:rsid w:val="003F744B"/>
    <w:rsid w:val="004046CE"/>
    <w:rsid w:val="00451689"/>
    <w:rsid w:val="00457E33"/>
    <w:rsid w:val="00480FEE"/>
    <w:rsid w:val="00493F92"/>
    <w:rsid w:val="004C32DA"/>
    <w:rsid w:val="004E08AF"/>
    <w:rsid w:val="005308ED"/>
    <w:rsid w:val="0055086D"/>
    <w:rsid w:val="00561F69"/>
    <w:rsid w:val="0058314A"/>
    <w:rsid w:val="00590354"/>
    <w:rsid w:val="00597E78"/>
    <w:rsid w:val="005C20EB"/>
    <w:rsid w:val="005D1FAF"/>
    <w:rsid w:val="005E30E5"/>
    <w:rsid w:val="006012C9"/>
    <w:rsid w:val="00626AD8"/>
    <w:rsid w:val="00632B84"/>
    <w:rsid w:val="00636E06"/>
    <w:rsid w:val="006620CC"/>
    <w:rsid w:val="00682BDA"/>
    <w:rsid w:val="00692C0A"/>
    <w:rsid w:val="00694259"/>
    <w:rsid w:val="006A30D4"/>
    <w:rsid w:val="006E0824"/>
    <w:rsid w:val="0071425E"/>
    <w:rsid w:val="00766711"/>
    <w:rsid w:val="007768DA"/>
    <w:rsid w:val="007C7304"/>
    <w:rsid w:val="007F5A0B"/>
    <w:rsid w:val="00827C13"/>
    <w:rsid w:val="008407C0"/>
    <w:rsid w:val="00851572"/>
    <w:rsid w:val="00887C1E"/>
    <w:rsid w:val="008B2350"/>
    <w:rsid w:val="008D2D46"/>
    <w:rsid w:val="009015E3"/>
    <w:rsid w:val="00906C15"/>
    <w:rsid w:val="009228E8"/>
    <w:rsid w:val="00936E65"/>
    <w:rsid w:val="0094558A"/>
    <w:rsid w:val="00952CE9"/>
    <w:rsid w:val="00970C7B"/>
    <w:rsid w:val="009A0631"/>
    <w:rsid w:val="009B273D"/>
    <w:rsid w:val="009B2785"/>
    <w:rsid w:val="009B319D"/>
    <w:rsid w:val="009C3EB3"/>
    <w:rsid w:val="00A2751F"/>
    <w:rsid w:val="00A33B7F"/>
    <w:rsid w:val="00A47BA1"/>
    <w:rsid w:val="00A57968"/>
    <w:rsid w:val="00A73F10"/>
    <w:rsid w:val="00A756FC"/>
    <w:rsid w:val="00AA3EB4"/>
    <w:rsid w:val="00AA74C0"/>
    <w:rsid w:val="00AB2228"/>
    <w:rsid w:val="00AC419F"/>
    <w:rsid w:val="00AF3A6A"/>
    <w:rsid w:val="00B0206B"/>
    <w:rsid w:val="00B5070A"/>
    <w:rsid w:val="00B70E1C"/>
    <w:rsid w:val="00B70E76"/>
    <w:rsid w:val="00B73B75"/>
    <w:rsid w:val="00B73FB4"/>
    <w:rsid w:val="00C17F62"/>
    <w:rsid w:val="00C2141D"/>
    <w:rsid w:val="00C83915"/>
    <w:rsid w:val="00CA490F"/>
    <w:rsid w:val="00CC2619"/>
    <w:rsid w:val="00CE2C3E"/>
    <w:rsid w:val="00CE3A70"/>
    <w:rsid w:val="00D02D83"/>
    <w:rsid w:val="00D04DF0"/>
    <w:rsid w:val="00D570EF"/>
    <w:rsid w:val="00D738BD"/>
    <w:rsid w:val="00DF3B3A"/>
    <w:rsid w:val="00E22660"/>
    <w:rsid w:val="00E328D9"/>
    <w:rsid w:val="00E35A95"/>
    <w:rsid w:val="00E409E1"/>
    <w:rsid w:val="00E51218"/>
    <w:rsid w:val="00EB6D44"/>
    <w:rsid w:val="00EC68F4"/>
    <w:rsid w:val="00EF4BED"/>
    <w:rsid w:val="00F003C8"/>
    <w:rsid w:val="00F21866"/>
    <w:rsid w:val="00F3546B"/>
    <w:rsid w:val="00F52CAA"/>
    <w:rsid w:val="00F61D63"/>
    <w:rsid w:val="00F648EA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E045"/>
  <w15:docId w15:val="{0732AD23-2F04-4406-900F-70DCC6BA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82BD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9C3E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5643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385643"/>
  </w:style>
  <w:style w:type="paragraph" w:styleId="Textodeglobo">
    <w:name w:val="Balloon Text"/>
    <w:basedOn w:val="Normal"/>
    <w:link w:val="TextodegloboCar"/>
    <w:uiPriority w:val="99"/>
    <w:semiHidden/>
    <w:unhideWhenUsed/>
    <w:rsid w:val="00C8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EFE4-445C-4628-90AE-D6C9FE6D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Castañeda Veliz, Carlos Celso</dc:creator>
  <cp:lastModifiedBy>PAULO DANIEL MENDOZA BARRANTES</cp:lastModifiedBy>
  <cp:revision>4</cp:revision>
  <dcterms:created xsi:type="dcterms:W3CDTF">2019-02-15T17:42:00Z</dcterms:created>
  <dcterms:modified xsi:type="dcterms:W3CDTF">2019-02-15T20:35:00Z</dcterms:modified>
</cp:coreProperties>
</file>