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41B5F" w14:textId="7480347E" w:rsidR="00FD009B" w:rsidRDefault="00C66396" w:rsidP="00FD009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F5D6B">
        <w:rPr>
          <w:rFonts w:ascii="Arial" w:hAnsi="Arial" w:cs="Arial"/>
          <w:b/>
          <w:sz w:val="28"/>
        </w:rPr>
        <w:t>INDICADOR 7</w:t>
      </w:r>
      <w:r w:rsidR="005D1936" w:rsidRPr="00BE2E18">
        <w:rPr>
          <w:rFonts w:ascii="Arial" w:hAnsi="Arial" w:cs="Arial"/>
          <w:b/>
          <w:sz w:val="24"/>
          <w:lang w:val="es-PE"/>
        </w:rPr>
        <w:t>:</w:t>
      </w:r>
      <w:r w:rsidR="005D1936" w:rsidRPr="00BE2E18">
        <w:rPr>
          <w:rFonts w:ascii="Arial" w:hAnsi="Arial" w:cs="Arial"/>
          <w:b/>
          <w:sz w:val="20"/>
          <w:lang w:val="es-PE"/>
        </w:rPr>
        <w:t xml:space="preserve"> </w:t>
      </w:r>
      <w:r w:rsidR="00962EEC" w:rsidRPr="00962EEC">
        <w:rPr>
          <w:rFonts w:ascii="Arial" w:hAnsi="Arial" w:cs="Arial"/>
          <w:sz w:val="20"/>
        </w:rPr>
        <w:t>Porcentaje de Colegios de Alto Rendimiento sin implementación</w:t>
      </w:r>
      <w:r w:rsidR="00962EEC">
        <w:rPr>
          <w:rFonts w:ascii="Arial" w:hAnsi="Arial" w:cs="Arial"/>
          <w:sz w:val="20"/>
        </w:rPr>
        <w:t xml:space="preserve"> para alumnos del VII ciclo de Educación Básica R</w:t>
      </w:r>
      <w:r w:rsidR="00962EEC" w:rsidRPr="00962EEC">
        <w:rPr>
          <w:rFonts w:ascii="Arial" w:hAnsi="Arial" w:cs="Arial"/>
          <w:sz w:val="20"/>
        </w:rPr>
        <w:t>egular</w:t>
      </w:r>
    </w:p>
    <w:p w14:paraId="643AD775" w14:textId="77777777" w:rsidR="00C66396" w:rsidRDefault="00C66396" w:rsidP="00FD009B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8980" w:type="dxa"/>
        <w:jc w:val="center"/>
        <w:tblLook w:val="04A0" w:firstRow="1" w:lastRow="0" w:firstColumn="1" w:lastColumn="0" w:noHBand="0" w:noVBand="1"/>
      </w:tblPr>
      <w:tblGrid>
        <w:gridCol w:w="4048"/>
        <w:gridCol w:w="4932"/>
      </w:tblGrid>
      <w:tr w:rsidR="00C66396" w:rsidRPr="00C66396" w14:paraId="2B72AB22" w14:textId="77777777" w:rsidTr="004D1B16">
        <w:trPr>
          <w:trHeight w:val="267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B827" w14:textId="77777777" w:rsidR="00C66396" w:rsidRPr="00A511CF" w:rsidRDefault="00C66396" w:rsidP="00C663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A511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/>
              </w:rPr>
              <w:t>Nombre de la entidad pública: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83CA" w14:textId="77777777" w:rsidR="00C66396" w:rsidRPr="00C66396" w:rsidRDefault="00C66396" w:rsidP="00C66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663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Ministerio de Educación</w:t>
            </w:r>
          </w:p>
        </w:tc>
      </w:tr>
      <w:tr w:rsidR="00C66396" w:rsidRPr="00C66396" w14:paraId="42A3F4B4" w14:textId="77777777" w:rsidTr="004D1B16">
        <w:trPr>
          <w:trHeight w:val="267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0D84" w14:textId="77777777" w:rsidR="00C66396" w:rsidRPr="00C66396" w:rsidRDefault="00C66396" w:rsidP="00C663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C663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Fecha de elaboración: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7CCF" w14:textId="37349C4F" w:rsidR="00C66396" w:rsidRPr="00C66396" w:rsidRDefault="00962EEC" w:rsidP="00C66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15.02.19</w:t>
            </w:r>
          </w:p>
        </w:tc>
      </w:tr>
      <w:tr w:rsidR="00C66396" w:rsidRPr="00C66396" w14:paraId="0DB30CF5" w14:textId="77777777" w:rsidTr="004D1B16">
        <w:trPr>
          <w:trHeight w:val="267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7FA0" w14:textId="77777777" w:rsidR="00C66396" w:rsidRPr="00C66396" w:rsidRDefault="00C66396" w:rsidP="00C663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C663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Sector: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D59F" w14:textId="77777777" w:rsidR="00C66396" w:rsidRPr="00C66396" w:rsidRDefault="00C66396" w:rsidP="00C66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663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Educación</w:t>
            </w:r>
          </w:p>
        </w:tc>
      </w:tr>
      <w:tr w:rsidR="00C66396" w:rsidRPr="00C66396" w14:paraId="7673F025" w14:textId="77777777" w:rsidTr="004D1B16">
        <w:trPr>
          <w:trHeight w:val="267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BE77" w14:textId="77777777" w:rsidR="00C66396" w:rsidRPr="00C66396" w:rsidRDefault="00C66396" w:rsidP="00C663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C663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Función: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9C32" w14:textId="77777777" w:rsidR="00C66396" w:rsidRPr="00C66396" w:rsidRDefault="00C66396" w:rsidP="00C66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663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 Educación</w:t>
            </w:r>
          </w:p>
        </w:tc>
      </w:tr>
      <w:tr w:rsidR="00C66396" w:rsidRPr="00C66396" w14:paraId="3868F1C2" w14:textId="77777777" w:rsidTr="004D1B16">
        <w:trPr>
          <w:trHeight w:val="267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AE4E" w14:textId="77777777" w:rsidR="00C66396" w:rsidRPr="00C66396" w:rsidRDefault="00C66396" w:rsidP="00C663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C663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División funcional: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D1B5" w14:textId="0907679F" w:rsidR="00C66396" w:rsidRPr="00C66396" w:rsidRDefault="009E1A6E" w:rsidP="009E1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047: Educación Básica</w:t>
            </w:r>
          </w:p>
        </w:tc>
      </w:tr>
      <w:tr w:rsidR="00C66396" w:rsidRPr="00C66396" w14:paraId="7F132AC7" w14:textId="77777777" w:rsidTr="004D1B16">
        <w:trPr>
          <w:trHeight w:val="267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739F" w14:textId="77777777" w:rsidR="00C66396" w:rsidRPr="00C66396" w:rsidRDefault="00C66396" w:rsidP="00C663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C663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Grupo funcional: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73ED" w14:textId="4B98D050" w:rsidR="00C66396" w:rsidRPr="00A511CF" w:rsidRDefault="009E1A6E" w:rsidP="00C66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  <w:t>0105:Educación Secundaria</w:t>
            </w:r>
          </w:p>
        </w:tc>
      </w:tr>
      <w:tr w:rsidR="00C66396" w:rsidRPr="00C66396" w14:paraId="7978E41A" w14:textId="77777777" w:rsidTr="004D1B16">
        <w:trPr>
          <w:trHeight w:val="267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12C6" w14:textId="77777777" w:rsidR="00C66396" w:rsidRPr="00C66396" w:rsidRDefault="00C66396" w:rsidP="00C663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C663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Servicio público asociado: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00C9" w14:textId="1271A9D8" w:rsidR="00C66396" w:rsidRPr="00A511CF" w:rsidRDefault="00756877" w:rsidP="00250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</w:pPr>
            <w:r w:rsidRPr="00756877"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  <w:t>Servicio de Educación Secundaria</w:t>
            </w:r>
          </w:p>
        </w:tc>
      </w:tr>
      <w:tr w:rsidR="00C66396" w:rsidRPr="00C66396" w14:paraId="13BA0F9B" w14:textId="77777777" w:rsidTr="004D1B16">
        <w:trPr>
          <w:trHeight w:val="267"/>
          <w:jc w:val="center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A56B" w14:textId="41F1D1A0" w:rsidR="00C66396" w:rsidRPr="00C66396" w:rsidRDefault="00C66396" w:rsidP="00C663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C663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Tipología del proyecto: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C9F9" w14:textId="05F0F357" w:rsidR="00C66396" w:rsidRPr="00A511CF" w:rsidRDefault="00962EEC" w:rsidP="00C66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</w:pPr>
            <w:r w:rsidRPr="00962EEC">
              <w:rPr>
                <w:rFonts w:ascii="Arial" w:eastAsia="Times New Roman" w:hAnsi="Arial" w:cs="Arial"/>
                <w:color w:val="000000"/>
                <w:sz w:val="20"/>
                <w:szCs w:val="20"/>
                <w:lang w:val="es-PE"/>
              </w:rPr>
              <w:t>Educación Secundaria para atención de estudiantes de alto desempeño</w:t>
            </w:r>
          </w:p>
        </w:tc>
      </w:tr>
    </w:tbl>
    <w:p w14:paraId="152B421B" w14:textId="77777777" w:rsidR="00FD009B" w:rsidRPr="00FD009B" w:rsidRDefault="00FD009B" w:rsidP="00FD009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0"/>
      </w:tblGrid>
      <w:tr w:rsidR="00682BDA" w:rsidRPr="00262BAC" w14:paraId="05729495" w14:textId="77777777" w:rsidTr="00C66396">
        <w:trPr>
          <w:jc w:val="center"/>
        </w:trPr>
        <w:tc>
          <w:tcPr>
            <w:tcW w:w="5000" w:type="pct"/>
            <w:shd w:val="clear" w:color="auto" w:fill="FFFFFF" w:themeFill="background1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5D1936" w:rsidRPr="00262BAC" w14:paraId="396E94BC" w14:textId="77777777" w:rsidTr="00DE307C"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93BAB5" w14:textId="77777777" w:rsidR="005D1936" w:rsidRPr="00262BAC" w:rsidRDefault="005D1936" w:rsidP="00BE2E18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PROGRAMA PRESUPUESTAL</w:t>
                  </w:r>
                </w:p>
              </w:tc>
            </w:tr>
          </w:tbl>
          <w:p w14:paraId="624CC81C" w14:textId="77777777" w:rsidR="005D1936" w:rsidRPr="00262BAC" w:rsidRDefault="005D1936" w:rsidP="005D193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5D1936" w:rsidRPr="00262BAC" w14:paraId="130AEE4F" w14:textId="77777777" w:rsidTr="00DE307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5D5E1" w14:textId="2098E7B5" w:rsidR="005D1936" w:rsidRPr="00262BAC" w:rsidRDefault="00BE2E18" w:rsidP="00BE2E18">
                  <w:pPr>
                    <w:pStyle w:val="Prrafodelista1"/>
                    <w:spacing w:after="160" w:line="240" w:lineRule="auto"/>
                    <w:ind w:left="357" w:hanging="357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2BAC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INDICADOR</w:t>
                  </w:r>
                </w:p>
              </w:tc>
            </w:tr>
          </w:tbl>
          <w:p w14:paraId="256510D0" w14:textId="77777777" w:rsidR="005D1936" w:rsidRPr="00262BAC" w:rsidRDefault="005D1936" w:rsidP="005D193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142B34F" w14:textId="18B62220" w:rsidR="005D1936" w:rsidRPr="00262BAC" w:rsidRDefault="00962EEC" w:rsidP="00FD0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EEC">
              <w:rPr>
                <w:rFonts w:ascii="Arial" w:hAnsi="Arial" w:cs="Arial"/>
                <w:sz w:val="20"/>
                <w:szCs w:val="20"/>
              </w:rPr>
              <w:t xml:space="preserve">Porcentaje de Colegios de Alto Rendimiento sin implementación para alumnos del VII ciclo de Educación Básica Regular </w:t>
            </w:r>
            <w:r w:rsidR="00BE2E18" w:rsidRPr="00262BAC">
              <w:rPr>
                <w:rFonts w:ascii="Arial" w:hAnsi="Arial" w:cs="Arial"/>
                <w:sz w:val="20"/>
                <w:szCs w:val="20"/>
              </w:rPr>
              <w:t>(</w:t>
            </w:r>
            <w:r w:rsidR="001F0280">
              <w:rPr>
                <w:rFonts w:ascii="Arial" w:hAnsi="Arial" w:cs="Arial"/>
                <w:sz w:val="20"/>
                <w:szCs w:val="20"/>
              </w:rPr>
              <w:t>PC</w:t>
            </w:r>
            <w:r w:rsidR="002A1847">
              <w:rPr>
                <w:rFonts w:ascii="Arial" w:hAnsi="Arial" w:cs="Arial"/>
                <w:sz w:val="20"/>
                <w:szCs w:val="20"/>
              </w:rPr>
              <w:t>ARSI</w:t>
            </w:r>
            <w:r w:rsidR="00BE2E18" w:rsidRPr="00262B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6E5BCEE" w14:textId="77777777" w:rsidR="005D1936" w:rsidRPr="00262BAC" w:rsidRDefault="005D1936" w:rsidP="005D193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5D1936" w:rsidRPr="00262BAC" w14:paraId="5E76525A" w14:textId="77777777" w:rsidTr="00DE307C"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8DF17F" w14:textId="6B7E8155" w:rsidR="005D1936" w:rsidRPr="00262BAC" w:rsidRDefault="00BE2E18" w:rsidP="00BE2E18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AMBITO DE CONTROL</w:t>
                  </w:r>
                </w:p>
              </w:tc>
            </w:tr>
          </w:tbl>
          <w:p w14:paraId="7C422FE4" w14:textId="77777777" w:rsidR="005D1936" w:rsidRPr="00262BAC" w:rsidRDefault="005D1936" w:rsidP="005D1936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12343EEF" w14:textId="3AE30604" w:rsidR="005D1936" w:rsidRPr="00262BAC" w:rsidRDefault="00FD009B" w:rsidP="005D1936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262BAC">
              <w:rPr>
                <w:rFonts w:ascii="Arial" w:hAnsi="Arial"/>
                <w:bCs/>
                <w:sz w:val="20"/>
                <w:szCs w:val="20"/>
              </w:rPr>
              <w:t xml:space="preserve">Resultado específico: </w:t>
            </w:r>
            <w:r w:rsidR="00BE2E18" w:rsidRPr="00262BAC">
              <w:rPr>
                <w:rFonts w:ascii="Arial" w:hAnsi="Arial"/>
                <w:bCs/>
                <w:sz w:val="20"/>
                <w:szCs w:val="20"/>
              </w:rPr>
              <w:t xml:space="preserve">Incremento del número de </w:t>
            </w:r>
            <w:r w:rsidR="005D1936" w:rsidRPr="00262BAC">
              <w:rPr>
                <w:rFonts w:ascii="Arial" w:hAnsi="Arial"/>
                <w:bCs/>
                <w:sz w:val="20"/>
                <w:szCs w:val="20"/>
              </w:rPr>
              <w:t>Col</w:t>
            </w:r>
            <w:r w:rsidR="008C027F" w:rsidRPr="00262BAC">
              <w:rPr>
                <w:rFonts w:ascii="Arial" w:hAnsi="Arial"/>
                <w:bCs/>
                <w:sz w:val="20"/>
                <w:szCs w:val="20"/>
              </w:rPr>
              <w:t>egios de Alto Rendimiento</w:t>
            </w:r>
            <w:r w:rsidR="00BE2E18" w:rsidRPr="00262BAC">
              <w:rPr>
                <w:rFonts w:ascii="Arial" w:hAnsi="Arial"/>
                <w:bCs/>
                <w:sz w:val="20"/>
                <w:szCs w:val="20"/>
              </w:rPr>
              <w:t xml:space="preserve"> implementados</w:t>
            </w:r>
            <w:r w:rsidR="0025026A">
              <w:rPr>
                <w:rFonts w:ascii="Arial" w:hAnsi="Arial"/>
                <w:bCs/>
                <w:sz w:val="20"/>
                <w:szCs w:val="20"/>
              </w:rPr>
              <w:t xml:space="preserve"> para alumnos del VII ciclo de Educación Básica R</w:t>
            </w:r>
            <w:r w:rsidR="00C7024E">
              <w:rPr>
                <w:rFonts w:ascii="Arial" w:hAnsi="Arial"/>
                <w:bCs/>
                <w:sz w:val="20"/>
                <w:szCs w:val="20"/>
              </w:rPr>
              <w:t>egular</w:t>
            </w:r>
          </w:p>
          <w:p w14:paraId="795F0919" w14:textId="77777777" w:rsidR="005D1936" w:rsidRPr="00262BAC" w:rsidRDefault="005D1936" w:rsidP="005D1936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5D1936" w:rsidRPr="00262BAC" w14:paraId="181ADE3C" w14:textId="77777777" w:rsidTr="00DE307C"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ECFFB7" w14:textId="028ECCBB" w:rsidR="005D1936" w:rsidRPr="00262BAC" w:rsidRDefault="005D1936" w:rsidP="00BE2E18">
                  <w:pPr>
                    <w:spacing w:line="240" w:lineRule="auto"/>
                    <w:ind w:left="36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PLIEGOS QUE EJECUTAN ACCIONES EN EL MARCO DEL PROGRAMA PRESUPUESTAL</w:t>
                  </w:r>
                </w:p>
              </w:tc>
            </w:tr>
          </w:tbl>
          <w:p w14:paraId="59CC539A" w14:textId="77777777" w:rsidR="005D1936" w:rsidRPr="00262BAC" w:rsidRDefault="005D1936" w:rsidP="005D193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EB01071" w14:textId="073FBDD4" w:rsidR="005D1936" w:rsidRPr="00262BAC" w:rsidRDefault="00171998" w:rsidP="005D193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Gobierno N</w:t>
            </w:r>
            <w:r w:rsidR="00064280" w:rsidRPr="00262BAC">
              <w:rPr>
                <w:rFonts w:ascii="Arial" w:hAnsi="Arial"/>
                <w:sz w:val="20"/>
                <w:szCs w:val="20"/>
              </w:rPr>
              <w:t>acional</w:t>
            </w:r>
          </w:p>
          <w:p w14:paraId="13737C32" w14:textId="77777777" w:rsidR="005D1936" w:rsidRPr="00262BAC" w:rsidRDefault="005D1936" w:rsidP="005D193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5D1936" w:rsidRPr="00262BAC" w14:paraId="7E3B7FC3" w14:textId="77777777" w:rsidTr="00DE307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704608" w14:textId="77777777" w:rsidR="005D1936" w:rsidRPr="00262BAC" w:rsidRDefault="005D1936" w:rsidP="00BE2E18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DEFINICIÓN</w:t>
                  </w:r>
                </w:p>
              </w:tc>
            </w:tr>
          </w:tbl>
          <w:p w14:paraId="4BA15A65" w14:textId="77777777" w:rsidR="00A55CEC" w:rsidRPr="00262BAC" w:rsidRDefault="00A55CEC" w:rsidP="00FD009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0815A697" w14:textId="2D0BF2C1" w:rsidR="00A55CEC" w:rsidRPr="00262BAC" w:rsidRDefault="008D4326" w:rsidP="00FD009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62BAC">
              <w:rPr>
                <w:rFonts w:ascii="Arial" w:hAnsi="Arial" w:cs="Arial"/>
                <w:bCs/>
                <w:sz w:val="20"/>
                <w:szCs w:val="20"/>
                <w:lang w:val="es-MX"/>
              </w:rPr>
              <w:t>El indicador r</w:t>
            </w:r>
            <w:r w:rsidR="00A55CEC" w:rsidRPr="00262BAC">
              <w:rPr>
                <w:rFonts w:ascii="Arial" w:hAnsi="Arial" w:cs="Arial"/>
                <w:bCs/>
                <w:sz w:val="20"/>
                <w:szCs w:val="20"/>
                <w:lang w:val="es-MX"/>
              </w:rPr>
              <w:t>epresenta la proporción de Colegios de Alto Rendimiento</w:t>
            </w:r>
            <w:r w:rsidR="008C027F" w:rsidRPr="00262BA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(COAR)</w:t>
            </w:r>
            <w:r w:rsidR="00A55CEC" w:rsidRPr="00262BA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="000A48B5" w:rsidRPr="00262BA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que faltan ser implementados en relación </w:t>
            </w:r>
            <w:r w:rsidR="00470370">
              <w:rPr>
                <w:rFonts w:ascii="Arial" w:hAnsi="Arial" w:cs="Arial"/>
                <w:bCs/>
                <w:sz w:val="20"/>
                <w:szCs w:val="20"/>
                <w:lang w:val="es-MX"/>
              </w:rPr>
              <w:t>al total de COAR requeridos por el Ministerio de Educación.</w:t>
            </w:r>
          </w:p>
          <w:p w14:paraId="4B72AEC3" w14:textId="77777777" w:rsidR="00FD009B" w:rsidRPr="00262BAC" w:rsidRDefault="00FD009B" w:rsidP="00FD0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A7569F" w14:textId="348D4E44" w:rsidR="009D0C62" w:rsidRPr="00262BAC" w:rsidRDefault="005D1936" w:rsidP="00FD0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BA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Se </w:t>
            </w:r>
            <w:r w:rsidR="00BD40C8" w:rsidRPr="00262BAC">
              <w:rPr>
                <w:rFonts w:ascii="Arial" w:hAnsi="Arial" w:cs="Arial"/>
                <w:sz w:val="20"/>
                <w:szCs w:val="20"/>
              </w:rPr>
              <w:t xml:space="preserve">considera </w:t>
            </w:r>
            <w:r w:rsidR="001B3245" w:rsidRPr="00262BAC">
              <w:rPr>
                <w:rFonts w:ascii="Arial" w:hAnsi="Arial" w:cs="Arial"/>
                <w:sz w:val="20"/>
                <w:szCs w:val="20"/>
              </w:rPr>
              <w:t xml:space="preserve">que un </w:t>
            </w:r>
            <w:r w:rsidR="00BD40C8" w:rsidRPr="00262BAC">
              <w:rPr>
                <w:rFonts w:ascii="Arial" w:hAnsi="Arial" w:cs="Arial"/>
                <w:sz w:val="20"/>
                <w:szCs w:val="20"/>
              </w:rPr>
              <w:t xml:space="preserve">COAR </w:t>
            </w:r>
            <w:r w:rsidR="001B3245" w:rsidRPr="00262BAC">
              <w:rPr>
                <w:rFonts w:ascii="Arial" w:hAnsi="Arial" w:cs="Arial"/>
                <w:sz w:val="20"/>
                <w:szCs w:val="20"/>
              </w:rPr>
              <w:t>est</w:t>
            </w:r>
            <w:r w:rsidR="007E1393" w:rsidRPr="00262BAC">
              <w:rPr>
                <w:rFonts w:ascii="Arial" w:hAnsi="Arial" w:cs="Arial"/>
                <w:sz w:val="20"/>
                <w:szCs w:val="20"/>
              </w:rPr>
              <w:t>á</w:t>
            </w:r>
            <w:r w:rsidR="001B3245" w:rsidRPr="00262B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1E4" w:rsidRPr="00262BAC">
              <w:rPr>
                <w:rFonts w:ascii="Arial" w:hAnsi="Arial" w:cs="Arial"/>
                <w:sz w:val="20"/>
                <w:szCs w:val="20"/>
              </w:rPr>
              <w:t>implementado</w:t>
            </w:r>
            <w:r w:rsidR="005F21FB" w:rsidRPr="00262B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C62" w:rsidRPr="00262BAC">
              <w:rPr>
                <w:rFonts w:ascii="Arial" w:hAnsi="Arial" w:cs="Arial"/>
                <w:sz w:val="20"/>
                <w:szCs w:val="20"/>
              </w:rPr>
              <w:t>cuando la infraestructura construida</w:t>
            </w:r>
            <w:r w:rsidR="001B3245" w:rsidRPr="00262BAC">
              <w:rPr>
                <w:rFonts w:ascii="Arial" w:hAnsi="Arial" w:cs="Arial"/>
                <w:sz w:val="20"/>
                <w:szCs w:val="20"/>
              </w:rPr>
              <w:t>,</w:t>
            </w:r>
            <w:r w:rsidR="009D0C62" w:rsidRPr="00262BAC">
              <w:rPr>
                <w:rFonts w:ascii="Arial" w:hAnsi="Arial" w:cs="Arial"/>
                <w:sz w:val="20"/>
                <w:szCs w:val="20"/>
              </w:rPr>
              <w:t xml:space="preserve"> mobiliario y equipamiento cumplen</w:t>
            </w:r>
            <w:r w:rsidR="004B7303" w:rsidRPr="00262BAC">
              <w:rPr>
                <w:rFonts w:ascii="Arial" w:hAnsi="Arial" w:cs="Arial"/>
                <w:sz w:val="20"/>
                <w:szCs w:val="20"/>
              </w:rPr>
              <w:t xml:space="preserve"> con</w:t>
            </w:r>
            <w:r w:rsidR="009D0C62" w:rsidRPr="00262BAC">
              <w:rPr>
                <w:rFonts w:ascii="Arial" w:hAnsi="Arial" w:cs="Arial"/>
                <w:sz w:val="20"/>
                <w:szCs w:val="20"/>
              </w:rPr>
              <w:t xml:space="preserve"> las características </w:t>
            </w:r>
            <w:r w:rsidR="001C63B0" w:rsidRPr="00262BAC">
              <w:rPr>
                <w:rFonts w:ascii="Arial" w:hAnsi="Arial" w:cs="Arial"/>
                <w:sz w:val="20"/>
                <w:szCs w:val="20"/>
              </w:rPr>
              <w:t>dispuestas</w:t>
            </w:r>
            <w:r w:rsidR="009D0C62" w:rsidRPr="00262B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F71" w:rsidRPr="00262BAC">
              <w:rPr>
                <w:rFonts w:ascii="Arial" w:hAnsi="Arial" w:cs="Arial"/>
                <w:sz w:val="20"/>
                <w:szCs w:val="20"/>
              </w:rPr>
              <w:t>en la</w:t>
            </w:r>
            <w:r w:rsidR="001C63B0" w:rsidRPr="00262BAC">
              <w:rPr>
                <w:rFonts w:ascii="Arial" w:hAnsi="Arial" w:cs="Arial"/>
                <w:sz w:val="20"/>
                <w:szCs w:val="20"/>
              </w:rPr>
              <w:t>s</w:t>
            </w:r>
            <w:r w:rsidR="007E1393" w:rsidRPr="00262BAC">
              <w:rPr>
                <w:rFonts w:ascii="Arial" w:hAnsi="Arial" w:cs="Arial"/>
                <w:sz w:val="20"/>
                <w:szCs w:val="20"/>
              </w:rPr>
              <w:t xml:space="preserve"> norma</w:t>
            </w:r>
            <w:r w:rsidR="001C63B0" w:rsidRPr="00262BAC">
              <w:rPr>
                <w:rFonts w:ascii="Arial" w:hAnsi="Arial" w:cs="Arial"/>
                <w:sz w:val="20"/>
                <w:szCs w:val="20"/>
              </w:rPr>
              <w:t>s</w:t>
            </w:r>
            <w:r w:rsidR="007E1393" w:rsidRPr="00262B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63B0" w:rsidRPr="00262BAC">
              <w:rPr>
                <w:rFonts w:ascii="Arial" w:hAnsi="Arial" w:cs="Arial"/>
                <w:sz w:val="20"/>
                <w:szCs w:val="20"/>
              </w:rPr>
              <w:t>emitidas</w:t>
            </w:r>
            <w:r w:rsidR="00D47685" w:rsidRPr="00262BAC">
              <w:rPr>
                <w:rFonts w:ascii="Arial" w:hAnsi="Arial" w:cs="Arial"/>
                <w:sz w:val="20"/>
                <w:szCs w:val="20"/>
              </w:rPr>
              <w:t xml:space="preserve"> en el marco del </w:t>
            </w:r>
            <w:r w:rsidR="001C63B0" w:rsidRPr="00262BAC">
              <w:rPr>
                <w:rFonts w:ascii="Arial" w:hAnsi="Arial" w:cs="Arial"/>
                <w:sz w:val="20"/>
                <w:szCs w:val="20"/>
              </w:rPr>
              <w:t xml:space="preserve">Modelo de Servicio educativo para la atención de estudiantes con alto </w:t>
            </w:r>
            <w:r w:rsidR="004B7303" w:rsidRPr="00262BAC">
              <w:rPr>
                <w:rFonts w:ascii="Arial" w:hAnsi="Arial" w:cs="Arial"/>
                <w:sz w:val="20"/>
                <w:szCs w:val="20"/>
              </w:rPr>
              <w:t xml:space="preserve">desempeño; es decir cuenta con local propio, acceso a servicios básico, </w:t>
            </w:r>
            <w:r w:rsidR="00ED24E4" w:rsidRPr="00262BAC">
              <w:rPr>
                <w:rFonts w:ascii="Arial" w:hAnsi="Arial" w:cs="Arial"/>
                <w:sz w:val="20"/>
                <w:szCs w:val="20"/>
              </w:rPr>
              <w:t>am</w:t>
            </w:r>
            <w:r w:rsidR="00064280" w:rsidRPr="00262BAC">
              <w:rPr>
                <w:rFonts w:ascii="Arial" w:hAnsi="Arial" w:cs="Arial"/>
                <w:sz w:val="20"/>
                <w:szCs w:val="20"/>
              </w:rPr>
              <w:t>bientes pedagógicos necesarios,</w:t>
            </w:r>
            <w:r w:rsidR="00ED24E4" w:rsidRPr="00262B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303" w:rsidRPr="00262BAC">
              <w:rPr>
                <w:rFonts w:ascii="Arial" w:hAnsi="Arial" w:cs="Arial"/>
                <w:sz w:val="20"/>
                <w:szCs w:val="20"/>
              </w:rPr>
              <w:t>mobiliario</w:t>
            </w:r>
            <w:r w:rsidR="00ED24E4" w:rsidRPr="00262BAC">
              <w:rPr>
                <w:rFonts w:ascii="Arial" w:hAnsi="Arial" w:cs="Arial"/>
                <w:sz w:val="20"/>
                <w:szCs w:val="20"/>
              </w:rPr>
              <w:t xml:space="preserve"> equipamiento adecuado</w:t>
            </w:r>
            <w:r w:rsidR="00470370">
              <w:rPr>
                <w:rFonts w:ascii="Arial" w:hAnsi="Arial" w:cs="Arial"/>
                <w:sz w:val="20"/>
                <w:szCs w:val="20"/>
              </w:rPr>
              <w:t>, entre otros</w:t>
            </w:r>
            <w:r w:rsidR="00ED24E4" w:rsidRPr="00262B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B2B4D3" w14:textId="77777777" w:rsidR="002C371E" w:rsidRPr="00262BAC" w:rsidRDefault="002C371E" w:rsidP="00FD0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D00328" w14:textId="4D15ED96" w:rsidR="002C371E" w:rsidRPr="00262BAC" w:rsidRDefault="00AB7C7B" w:rsidP="002C371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</w:t>
            </w:r>
            <w:r w:rsidR="00990178">
              <w:rPr>
                <w:rFonts w:ascii="Arial" w:hAnsi="Arial"/>
                <w:sz w:val="20"/>
                <w:szCs w:val="20"/>
              </w:rPr>
              <w:t>os COAR</w:t>
            </w:r>
            <w:r>
              <w:rPr>
                <w:rFonts w:ascii="Arial" w:hAnsi="Arial"/>
                <w:sz w:val="20"/>
                <w:szCs w:val="20"/>
              </w:rPr>
              <w:t xml:space="preserve"> requeridos</w:t>
            </w:r>
            <w:r w:rsidR="00990178">
              <w:rPr>
                <w:rFonts w:ascii="Arial" w:hAnsi="Arial"/>
                <w:sz w:val="20"/>
                <w:szCs w:val="20"/>
              </w:rPr>
              <w:t xml:space="preserve"> s</w:t>
            </w:r>
            <w:r w:rsidR="002C371E" w:rsidRPr="00262BAC">
              <w:rPr>
                <w:rFonts w:ascii="Arial" w:hAnsi="Arial"/>
                <w:sz w:val="20"/>
                <w:szCs w:val="20"/>
              </w:rPr>
              <w:t>e identificará</w:t>
            </w:r>
            <w:r w:rsidR="005656F3">
              <w:rPr>
                <w:rFonts w:ascii="Arial" w:hAnsi="Arial"/>
                <w:sz w:val="20"/>
                <w:szCs w:val="20"/>
              </w:rPr>
              <w:t>n</w:t>
            </w:r>
            <w:r w:rsidR="002C371E" w:rsidRPr="00262BAC">
              <w:rPr>
                <w:rFonts w:ascii="Arial" w:hAnsi="Arial"/>
                <w:sz w:val="20"/>
                <w:szCs w:val="20"/>
              </w:rPr>
              <w:t xml:space="preserve"> como todas las iniciativas en las que el Ministerio de Educación cuente con una participación directa en la implementación de dicho modelo educativo. Esto se d</w:t>
            </w:r>
            <w:r w:rsidR="00A511CF">
              <w:rPr>
                <w:rFonts w:ascii="Arial" w:hAnsi="Arial"/>
                <w:sz w:val="20"/>
                <w:szCs w:val="20"/>
              </w:rPr>
              <w:t>a con el objetivo de cuantificar</w:t>
            </w:r>
            <w:r w:rsidR="002C371E" w:rsidRPr="00262BAC">
              <w:rPr>
                <w:rFonts w:ascii="Arial" w:hAnsi="Arial"/>
                <w:sz w:val="20"/>
                <w:szCs w:val="20"/>
              </w:rPr>
              <w:t xml:space="preserve"> el número de COAR, ya que otros </w:t>
            </w:r>
            <w:r w:rsidR="00C60DD9" w:rsidRPr="00262BAC">
              <w:rPr>
                <w:rFonts w:ascii="Arial" w:hAnsi="Arial"/>
                <w:sz w:val="20"/>
                <w:szCs w:val="20"/>
              </w:rPr>
              <w:t>Gobiernos Locales o R</w:t>
            </w:r>
            <w:r w:rsidR="002C371E" w:rsidRPr="00262BAC">
              <w:rPr>
                <w:rFonts w:ascii="Arial" w:hAnsi="Arial"/>
                <w:sz w:val="20"/>
                <w:szCs w:val="20"/>
              </w:rPr>
              <w:t xml:space="preserve">egionales podrían replicar el modelo sin la participación directa </w:t>
            </w:r>
            <w:r w:rsidR="00C60DD9" w:rsidRPr="00262BAC">
              <w:rPr>
                <w:rFonts w:ascii="Arial" w:hAnsi="Arial"/>
                <w:sz w:val="20"/>
                <w:szCs w:val="20"/>
              </w:rPr>
              <w:t>del Gobierno N</w:t>
            </w:r>
            <w:r w:rsidR="002C371E" w:rsidRPr="00262BAC">
              <w:rPr>
                <w:rFonts w:ascii="Arial" w:hAnsi="Arial"/>
                <w:sz w:val="20"/>
                <w:szCs w:val="20"/>
              </w:rPr>
              <w:t>acional en la implementación.</w:t>
            </w:r>
          </w:p>
          <w:p w14:paraId="2C58615B" w14:textId="77777777" w:rsidR="00BE2E18" w:rsidRPr="00262BAC" w:rsidRDefault="00BE2E18" w:rsidP="002C371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C95728E" w14:textId="5D486C35" w:rsidR="00BE2E18" w:rsidRDefault="00BE2E18" w:rsidP="00BE2E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BAC">
              <w:rPr>
                <w:rFonts w:ascii="Arial" w:hAnsi="Arial" w:cs="Arial"/>
                <w:sz w:val="20"/>
                <w:szCs w:val="20"/>
              </w:rPr>
              <w:t xml:space="preserve">Los COAR son colegios de alto rendimiento creados para la atención de estudiantes de alto desempeño </w:t>
            </w:r>
            <w:r w:rsidR="005656F3">
              <w:rPr>
                <w:rFonts w:ascii="Arial" w:hAnsi="Arial" w:cs="Arial"/>
                <w:sz w:val="20"/>
                <w:szCs w:val="20"/>
              </w:rPr>
              <w:t xml:space="preserve">del VII ciclo de educación básica regular </w:t>
            </w:r>
            <w:r w:rsidRPr="00262BAC">
              <w:rPr>
                <w:rFonts w:ascii="Arial" w:hAnsi="Arial" w:cs="Arial"/>
                <w:sz w:val="20"/>
                <w:szCs w:val="20"/>
              </w:rPr>
              <w:t xml:space="preserve"> de todas las regiones del Perú a quienes se les dará un servicio educativo con elevados estándares de calidad nacional e internacional, lo cual permitirá fortalecer su potencial académico, artístico y deportivo.</w:t>
            </w:r>
          </w:p>
          <w:p w14:paraId="27B9C072" w14:textId="77777777" w:rsidR="005656F3" w:rsidRDefault="005656F3" w:rsidP="00BE2E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18A750" w14:textId="45F3E6CA" w:rsidR="005656F3" w:rsidRPr="00262BAC" w:rsidRDefault="005656F3" w:rsidP="00BE2E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Según</w:t>
            </w:r>
            <w:r w:rsidR="002A1847"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="00AD149E">
              <w:rPr>
                <w:rFonts w:ascii="Arial" w:hAnsi="Arial" w:cs="Arial"/>
                <w:sz w:val="20"/>
                <w:szCs w:val="20"/>
              </w:rPr>
              <w:t>Currículo</w:t>
            </w:r>
            <w:r w:rsidR="002A1847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 xml:space="preserve">acional </w:t>
            </w:r>
            <w:r w:rsidR="002A1847">
              <w:rPr>
                <w:rFonts w:ascii="Arial" w:hAnsi="Arial" w:cs="Arial"/>
                <w:sz w:val="20"/>
                <w:szCs w:val="20"/>
              </w:rPr>
              <w:t xml:space="preserve">de la educación básica de 2016 </w:t>
            </w:r>
            <w:r>
              <w:rPr>
                <w:rFonts w:ascii="Arial" w:hAnsi="Arial" w:cs="Arial"/>
                <w:sz w:val="20"/>
                <w:szCs w:val="20"/>
              </w:rPr>
              <w:t>el VII ciclo</w:t>
            </w:r>
            <w:r w:rsidR="002A1847">
              <w:rPr>
                <w:rFonts w:ascii="Arial" w:hAnsi="Arial" w:cs="Arial"/>
                <w:sz w:val="20"/>
                <w:szCs w:val="20"/>
              </w:rPr>
              <w:t xml:space="preserve"> de educación básica </w:t>
            </w:r>
            <w:r w:rsidR="00C7024E">
              <w:rPr>
                <w:rFonts w:ascii="Arial" w:hAnsi="Arial" w:cs="Arial"/>
                <w:sz w:val="20"/>
                <w:szCs w:val="20"/>
              </w:rPr>
              <w:t>regular,</w:t>
            </w:r>
            <w:r w:rsidR="002A1847">
              <w:rPr>
                <w:rFonts w:ascii="Arial" w:hAnsi="Arial" w:cs="Arial"/>
                <w:sz w:val="20"/>
                <w:szCs w:val="20"/>
              </w:rPr>
              <w:t xml:space="preserve"> se encuentra compuesta por los alumnos del 3º, 4º y 5º grado de secundaria.</w:t>
            </w:r>
          </w:p>
          <w:p w14:paraId="091B50C0" w14:textId="77777777" w:rsidR="00944F9D" w:rsidRDefault="00944F9D" w:rsidP="00FD009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5C36E0C" w14:textId="77777777" w:rsidR="00262BAC" w:rsidRPr="00262BAC" w:rsidRDefault="00262BAC" w:rsidP="00FD009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944F9D" w:rsidRPr="00262BAC" w14:paraId="20B57238" w14:textId="77777777" w:rsidTr="00DE307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58327" w14:textId="77777777" w:rsidR="00944F9D" w:rsidRPr="00262BAC" w:rsidRDefault="00944F9D" w:rsidP="00BE2E18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DIMENSIÓN DE DESEMPEÑO</w:t>
                  </w:r>
                </w:p>
              </w:tc>
            </w:tr>
          </w:tbl>
          <w:p w14:paraId="6BEB9C57" w14:textId="77777777" w:rsidR="00944F9D" w:rsidRPr="00262BAC" w:rsidRDefault="00944F9D" w:rsidP="00944F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9B92E" w14:textId="289390E8" w:rsidR="00944F9D" w:rsidRPr="00262BAC" w:rsidRDefault="00FD009B" w:rsidP="00944F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BAC">
              <w:rPr>
                <w:rFonts w:ascii="Arial" w:hAnsi="Arial" w:cs="Arial"/>
                <w:sz w:val="20"/>
                <w:szCs w:val="20"/>
              </w:rPr>
              <w:t>El ind</w:t>
            </w:r>
            <w:r w:rsidR="00291098">
              <w:rPr>
                <w:rFonts w:ascii="Arial" w:hAnsi="Arial" w:cs="Arial"/>
                <w:sz w:val="20"/>
                <w:szCs w:val="20"/>
              </w:rPr>
              <w:t>icador es de brecha de calidad</w:t>
            </w:r>
          </w:p>
          <w:p w14:paraId="63A1F20D" w14:textId="77777777" w:rsidR="00FD009B" w:rsidRPr="00262BAC" w:rsidRDefault="00FD009B" w:rsidP="00944F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944F9D" w:rsidRPr="00262BAC" w14:paraId="7A7E99C4" w14:textId="77777777" w:rsidTr="00DE307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CFBC7B" w14:textId="77777777" w:rsidR="00944F9D" w:rsidRPr="00262BAC" w:rsidRDefault="00944F9D" w:rsidP="00BE2E18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sz w:val="20"/>
                      <w:szCs w:val="20"/>
                    </w:rPr>
                    <w:br w:type="page"/>
                  </w: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 xml:space="preserve">VALOR DEL INDICADOR </w:t>
                  </w:r>
                </w:p>
              </w:tc>
            </w:tr>
          </w:tbl>
          <w:p w14:paraId="100B06AE" w14:textId="77777777" w:rsidR="00962EEC" w:rsidRPr="00962EEC" w:rsidRDefault="00962EEC" w:rsidP="00962EEC">
            <w:pPr>
              <w:rPr>
                <w:rFonts w:ascii="Arial" w:hAnsi="Arial"/>
                <w:sz w:val="2"/>
                <w:szCs w:val="20"/>
                <w:lang w:val="es-MX"/>
              </w:rPr>
            </w:pPr>
          </w:p>
          <w:p w14:paraId="789F3D99" w14:textId="77777777" w:rsidR="00962EEC" w:rsidRDefault="00962EEC" w:rsidP="00962EEC">
            <w:r>
              <w:rPr>
                <w:rFonts w:ascii="Arial" w:hAnsi="Arial"/>
                <w:sz w:val="20"/>
                <w:szCs w:val="20"/>
                <w:lang w:val="es-MX"/>
              </w:rPr>
              <w:t xml:space="preserve">De acuerdo al </w:t>
            </w:r>
            <w:r w:rsidRPr="00962EEC">
              <w:rPr>
                <w:rFonts w:ascii="Arial" w:hAnsi="Arial"/>
                <w:sz w:val="18"/>
                <w:szCs w:val="20"/>
                <w:lang w:val="es-MX"/>
              </w:rPr>
              <w:t>método</w:t>
            </w:r>
            <w:r>
              <w:rPr>
                <w:rFonts w:ascii="Arial" w:hAnsi="Arial"/>
                <w:sz w:val="20"/>
                <w:szCs w:val="20"/>
                <w:lang w:val="es-MX"/>
              </w:rPr>
              <w:t xml:space="preserve"> del cálculo y las bases de datos actualizadas</w:t>
            </w:r>
          </w:p>
          <w:p w14:paraId="1F8D0600" w14:textId="77777777" w:rsidR="00FF5D6B" w:rsidRPr="00962EEC" w:rsidRDefault="00FF5D6B" w:rsidP="00944F9D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20"/>
                <w:lang w:val="es-MX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944F9D" w:rsidRPr="00262BAC" w14:paraId="3F240511" w14:textId="77777777" w:rsidTr="00DE307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135155" w14:textId="77777777" w:rsidR="00944F9D" w:rsidRPr="00262BAC" w:rsidRDefault="00944F9D" w:rsidP="00BE2E18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JUSTIFICACIÓN</w:t>
                  </w:r>
                </w:p>
              </w:tc>
            </w:tr>
          </w:tbl>
          <w:p w14:paraId="63E33930" w14:textId="77777777" w:rsidR="0031612A" w:rsidRPr="00262BAC" w:rsidRDefault="0031612A" w:rsidP="0031612A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F15C260" w14:textId="28B9A458" w:rsidR="008235C8" w:rsidRPr="00262BAC" w:rsidRDefault="008235C8" w:rsidP="0031612A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Este indicador permite medir directamente la brecha de</w:t>
            </w:r>
            <w:r w:rsidR="00291098">
              <w:rPr>
                <w:rFonts w:ascii="Arial" w:hAnsi="Arial"/>
                <w:sz w:val="20"/>
                <w:szCs w:val="20"/>
              </w:rPr>
              <w:t xml:space="preserve"> la infraestructura educativa de los </w:t>
            </w:r>
            <w:r w:rsidRPr="00262BAC">
              <w:rPr>
                <w:rFonts w:ascii="Arial" w:hAnsi="Arial"/>
                <w:sz w:val="20"/>
                <w:szCs w:val="20"/>
              </w:rPr>
              <w:t>Colegios de Alto Rendimiento (COAR), y consiguientemente el cierre de esta brecha está vinculado directamente con la ejecución de proyectos de inversión.</w:t>
            </w:r>
          </w:p>
          <w:p w14:paraId="20CEB1D9" w14:textId="77777777" w:rsidR="0031612A" w:rsidRPr="00262BAC" w:rsidRDefault="0031612A" w:rsidP="0031612A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944F9D" w:rsidRPr="00262BAC" w14:paraId="1AAF3AAB" w14:textId="77777777" w:rsidTr="00DE307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89848F" w14:textId="77777777" w:rsidR="00944F9D" w:rsidRPr="00262BAC" w:rsidRDefault="00944F9D" w:rsidP="00BE2E18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LIMITACIONES Y SUPUESTOS EMPLEADOS</w:t>
                  </w:r>
                </w:p>
              </w:tc>
            </w:tr>
          </w:tbl>
          <w:p w14:paraId="4F6A67FE" w14:textId="77777777" w:rsidR="009315A8" w:rsidRPr="00262BAC" w:rsidRDefault="009315A8" w:rsidP="000C07F2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0246C1E" w14:textId="6C1465EB" w:rsidR="00AB4B0C" w:rsidRPr="00262BAC" w:rsidRDefault="00BE2E18" w:rsidP="00AB4B0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Limitaciones</w:t>
            </w:r>
            <w:r w:rsidR="00AB4B0C" w:rsidRPr="00262BAC">
              <w:rPr>
                <w:rFonts w:ascii="Arial" w:hAnsi="Arial"/>
                <w:sz w:val="20"/>
                <w:szCs w:val="20"/>
              </w:rPr>
              <w:t>:</w:t>
            </w:r>
          </w:p>
          <w:p w14:paraId="50548381" w14:textId="77777777" w:rsidR="00EE66C9" w:rsidRPr="00262BAC" w:rsidRDefault="00AB4B0C" w:rsidP="00EE66C9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Debido a la iniciativa de la intervención</w:t>
            </w:r>
            <w:r w:rsidR="00171998" w:rsidRPr="00262BAC">
              <w:rPr>
                <w:rFonts w:ascii="Arial" w:hAnsi="Arial"/>
                <w:sz w:val="20"/>
                <w:szCs w:val="20"/>
              </w:rPr>
              <w:t xml:space="preserve"> por parte del MINEDU</w:t>
            </w:r>
            <w:r w:rsidRPr="00262BAC">
              <w:rPr>
                <w:rFonts w:ascii="Arial" w:hAnsi="Arial"/>
                <w:sz w:val="20"/>
                <w:szCs w:val="20"/>
              </w:rPr>
              <w:t>, solo se puede calcular el valo</w:t>
            </w:r>
            <w:r w:rsidR="00E62766" w:rsidRPr="00262BAC">
              <w:rPr>
                <w:rFonts w:ascii="Arial" w:hAnsi="Arial"/>
                <w:sz w:val="20"/>
                <w:szCs w:val="20"/>
              </w:rPr>
              <w:t>r de la brecha a nivel nacional.</w:t>
            </w:r>
          </w:p>
          <w:p w14:paraId="5545C613" w14:textId="77777777" w:rsidR="007C65AE" w:rsidRPr="00262BAC" w:rsidRDefault="007C65AE" w:rsidP="009D522B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944F9D" w:rsidRPr="00262BAC" w14:paraId="793EBCA7" w14:textId="77777777" w:rsidTr="00DE307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CBB6A" w14:textId="77777777" w:rsidR="00944F9D" w:rsidRPr="00262BAC" w:rsidRDefault="00944F9D" w:rsidP="00BE2E18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PRECISIONES TÉCNICAS</w:t>
                  </w:r>
                </w:p>
              </w:tc>
            </w:tr>
          </w:tbl>
          <w:p w14:paraId="51661FD0" w14:textId="77777777" w:rsidR="00FF5D6B" w:rsidRPr="00262BAC" w:rsidRDefault="00FF5D6B" w:rsidP="00944F9D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280174F" w14:textId="77777777" w:rsidR="00336682" w:rsidRPr="00262BAC" w:rsidRDefault="00DE5709" w:rsidP="00F35B75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D</w:t>
            </w:r>
            <w:r w:rsidR="00146DDE" w:rsidRPr="00262BAC">
              <w:rPr>
                <w:rFonts w:ascii="Arial" w:hAnsi="Arial"/>
                <w:sz w:val="20"/>
                <w:szCs w:val="20"/>
              </w:rPr>
              <w:t>e acuerdo con los Convenios de Cooperación Interinstitucional suscritos entre el MINEDU y los Gobiernos Regionales, según lo establecido en la Resolución Ministerial N° 274-2014-MINEDU, los Gobiernos Regionales han encargado la realización de actividades de carácter material, técnico y/o servicios al MINEDU para la creación de un COAR por región a nivel nacional; salvo el caso del Colegio Mayor Secundario Presidente del Perú – COAR Lima, el mismo que ha sido creado mediante Resolución Suprema N° 034-2009-ED refrendada por el Ministerio de Educación.</w:t>
            </w:r>
          </w:p>
          <w:p w14:paraId="2E967E17" w14:textId="77777777" w:rsidR="00FF5D6B" w:rsidRPr="00262BAC" w:rsidRDefault="00FF5D6B" w:rsidP="00FF5D6B">
            <w:pPr>
              <w:pStyle w:val="Prrafodelista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F7E494F" w14:textId="3CEB30FF" w:rsidR="00FF5D6B" w:rsidRPr="00262BAC" w:rsidRDefault="00336682" w:rsidP="009D522B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El ámbito de aplicación del indicador es a nivel nacional, para lo cual se estaría requiriendo un</w:t>
            </w:r>
            <w:r w:rsidR="00DE5709" w:rsidRPr="00262BAC">
              <w:rPr>
                <w:rFonts w:ascii="Arial" w:hAnsi="Arial"/>
                <w:sz w:val="20"/>
                <w:szCs w:val="20"/>
              </w:rPr>
              <w:t>a</w:t>
            </w:r>
            <w:r w:rsidRPr="00262BAC">
              <w:rPr>
                <w:rFonts w:ascii="Arial" w:hAnsi="Arial"/>
                <w:sz w:val="20"/>
                <w:szCs w:val="20"/>
              </w:rPr>
              <w:t xml:space="preserve"> oferta de 25 COAR</w:t>
            </w:r>
            <w:r w:rsidR="00AB4B0C" w:rsidRPr="00262BAC">
              <w:rPr>
                <w:rFonts w:ascii="Arial" w:hAnsi="Arial"/>
                <w:sz w:val="20"/>
                <w:szCs w:val="20"/>
              </w:rPr>
              <w:t>,</w:t>
            </w:r>
            <w:r w:rsidRPr="00262BAC">
              <w:rPr>
                <w:rFonts w:ascii="Arial" w:hAnsi="Arial"/>
                <w:sz w:val="20"/>
                <w:szCs w:val="20"/>
              </w:rPr>
              <w:t xml:space="preserve"> de las cuales 2 se encuentran región Lima, y 23 en las demás regiones</w:t>
            </w:r>
            <w:r w:rsidR="00146DDE" w:rsidRPr="00262BAC">
              <w:rPr>
                <w:rFonts w:ascii="Arial" w:hAnsi="Arial"/>
                <w:sz w:val="20"/>
                <w:szCs w:val="20"/>
              </w:rPr>
              <w:t xml:space="preserve">, </w:t>
            </w:r>
            <w:r w:rsidR="00146DDE" w:rsidRPr="00262BAC">
              <w:rPr>
                <w:rFonts w:ascii="Arial" w:hAnsi="Arial" w:cs="Arial"/>
                <w:sz w:val="20"/>
                <w:szCs w:val="20"/>
              </w:rPr>
              <w:t>a excepción de la región Callao quien hasta la fecha no ha suscrito</w:t>
            </w:r>
            <w:r w:rsidR="009D522B" w:rsidRPr="00262BAC">
              <w:rPr>
                <w:rFonts w:ascii="Arial" w:hAnsi="Arial" w:cs="Arial"/>
                <w:sz w:val="20"/>
                <w:szCs w:val="20"/>
              </w:rPr>
              <w:t xml:space="preserve"> el convenio interinstitucional.</w:t>
            </w:r>
          </w:p>
          <w:p w14:paraId="5ACF4EF0" w14:textId="77777777" w:rsidR="00FF5D6B" w:rsidRPr="00262BAC" w:rsidRDefault="00FF5D6B" w:rsidP="009D522B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944F9D" w:rsidRPr="00262BAC" w14:paraId="1A3B91A1" w14:textId="77777777" w:rsidTr="00DE307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66579A" w14:textId="77777777" w:rsidR="00944F9D" w:rsidRPr="00262BAC" w:rsidRDefault="00944F9D" w:rsidP="00762211">
                  <w:pPr>
                    <w:keepNext/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MÉTODO DE CÁLCULO</w:t>
                  </w:r>
                </w:p>
              </w:tc>
            </w:tr>
          </w:tbl>
          <w:p w14:paraId="7A4E896D" w14:textId="77777777" w:rsidR="009D522B" w:rsidRPr="00262BAC" w:rsidRDefault="009D522B" w:rsidP="009D52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FB26CA" w14:textId="77777777" w:rsidR="00944F9D" w:rsidRPr="00262BAC" w:rsidRDefault="00944F9D" w:rsidP="009D52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BAC">
              <w:rPr>
                <w:rFonts w:ascii="Arial" w:hAnsi="Arial" w:cs="Arial"/>
                <w:sz w:val="20"/>
                <w:szCs w:val="20"/>
              </w:rPr>
              <w:t xml:space="preserve">Para efectos de cálculo </w:t>
            </w:r>
            <w:r w:rsidR="00AB4B0C" w:rsidRPr="00262BAC">
              <w:rPr>
                <w:rFonts w:ascii="Arial" w:hAnsi="Arial" w:cs="Arial"/>
                <w:sz w:val="20"/>
                <w:szCs w:val="20"/>
              </w:rPr>
              <w:t>d</w:t>
            </w:r>
            <w:r w:rsidRPr="00262BAC">
              <w:rPr>
                <w:rFonts w:ascii="Arial" w:hAnsi="Arial" w:cs="Arial"/>
                <w:sz w:val="20"/>
                <w:szCs w:val="20"/>
              </w:rPr>
              <w:t xml:space="preserve">el indicador, </w:t>
            </w:r>
            <w:r w:rsidR="00AB4B0C" w:rsidRPr="00262BAC">
              <w:rPr>
                <w:rFonts w:ascii="Arial" w:hAnsi="Arial" w:cs="Arial"/>
                <w:sz w:val="20"/>
                <w:szCs w:val="20"/>
              </w:rPr>
              <w:t xml:space="preserve">esta se dará de la </w:t>
            </w:r>
            <w:r w:rsidRPr="00262BAC">
              <w:rPr>
                <w:rFonts w:ascii="Arial" w:hAnsi="Arial" w:cs="Arial"/>
                <w:sz w:val="20"/>
                <w:szCs w:val="20"/>
              </w:rPr>
              <w:t>siguiente forma:</w:t>
            </w:r>
          </w:p>
          <w:p w14:paraId="0B0BE788" w14:textId="77777777" w:rsidR="00B86738" w:rsidRPr="00262BAC" w:rsidRDefault="00B86738" w:rsidP="009D52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BDFF35" w14:textId="6A69A583" w:rsidR="00944F9D" w:rsidRPr="00262BAC" w:rsidRDefault="00C10EA3" w:rsidP="009D52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PCARSI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CI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CT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100%</m:t>
                </m:r>
              </m:oMath>
            </m:oMathPara>
          </w:p>
          <w:p w14:paraId="1610964E" w14:textId="77777777" w:rsidR="009D522B" w:rsidRPr="00262BAC" w:rsidRDefault="009D522B" w:rsidP="009D522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562F931" w14:textId="094F34EE" w:rsidR="00944F9D" w:rsidRPr="00262BAC" w:rsidRDefault="00C10EA3" w:rsidP="009D52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PCARSI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0"/>
                  <w:szCs w:val="20"/>
                </w:rPr>
                <m:t>:</m:t>
              </m:r>
            </m:oMath>
            <w:r w:rsidR="00944F9D" w:rsidRPr="00262BAC">
              <w:rPr>
                <w:rFonts w:ascii="Arial" w:hAnsi="Arial" w:cs="Arial"/>
                <w:sz w:val="20"/>
                <w:szCs w:val="20"/>
              </w:rPr>
              <w:t xml:space="preserve"> Porcentaje de Colegios de Alto Rendimiento </w:t>
            </w:r>
            <w:r w:rsidR="00AB4B0C" w:rsidRPr="00262BAC">
              <w:rPr>
                <w:rFonts w:ascii="Arial" w:hAnsi="Arial" w:cs="Arial"/>
                <w:sz w:val="20"/>
                <w:szCs w:val="20"/>
              </w:rPr>
              <w:t>sin implementación</w:t>
            </w:r>
            <w:r w:rsidR="00C7024E">
              <w:rPr>
                <w:rFonts w:ascii="Arial" w:hAnsi="Arial" w:cs="Arial"/>
                <w:sz w:val="20"/>
                <w:szCs w:val="20"/>
              </w:rPr>
              <w:t xml:space="preserve"> para alumnos del VII ci</w:t>
            </w:r>
            <w:r w:rsidR="00291098">
              <w:rPr>
                <w:rFonts w:ascii="Arial" w:hAnsi="Arial" w:cs="Arial"/>
                <w:sz w:val="20"/>
                <w:szCs w:val="20"/>
              </w:rPr>
              <w:t xml:space="preserve">clo de educación básica regular </w:t>
            </w:r>
            <w:r w:rsidR="00944F9D" w:rsidRPr="00262BAC">
              <w:rPr>
                <w:rFonts w:ascii="Arial" w:hAnsi="Arial" w:cs="Arial"/>
                <w:sz w:val="20"/>
                <w:szCs w:val="20"/>
              </w:rPr>
              <w:t>en el tiempo t.</w:t>
            </w:r>
          </w:p>
          <w:p w14:paraId="10FE91E3" w14:textId="77777777" w:rsidR="009D522B" w:rsidRPr="00262BAC" w:rsidRDefault="009D522B" w:rsidP="009D52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2F7714" w14:textId="77777777" w:rsidR="00944F9D" w:rsidRPr="00262BAC" w:rsidRDefault="00C10EA3" w:rsidP="009D52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CI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0"/>
                  <w:szCs w:val="20"/>
                </w:rPr>
                <m:t>:</m:t>
              </m:r>
            </m:oMath>
            <w:r w:rsidR="00944F9D" w:rsidRPr="00262BAC">
              <w:rPr>
                <w:rFonts w:ascii="Arial" w:hAnsi="Arial" w:cs="Arial"/>
                <w:sz w:val="20"/>
                <w:szCs w:val="20"/>
              </w:rPr>
              <w:t xml:space="preserve"> Cantidad total de COAR implementados en el tiempo t.</w:t>
            </w:r>
          </w:p>
          <w:p w14:paraId="64F7E3ED" w14:textId="77777777" w:rsidR="009D522B" w:rsidRPr="00262BAC" w:rsidRDefault="009D522B" w:rsidP="009D52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EFD4A4" w14:textId="77777777" w:rsidR="00944F9D" w:rsidRPr="00262BAC" w:rsidRDefault="00C10EA3" w:rsidP="009D52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0"/>
                  <w:szCs w:val="20"/>
                </w:rPr>
                <m:t>:</m:t>
              </m:r>
            </m:oMath>
            <w:r w:rsidR="00944F9D" w:rsidRPr="00262BAC">
              <w:rPr>
                <w:rFonts w:ascii="Arial" w:hAnsi="Arial" w:cs="Arial"/>
                <w:sz w:val="20"/>
                <w:szCs w:val="20"/>
              </w:rPr>
              <w:t xml:space="preserve"> Oferta re</w:t>
            </w:r>
            <w:r w:rsidR="000D5334" w:rsidRPr="00262BAC">
              <w:rPr>
                <w:rFonts w:ascii="Arial" w:hAnsi="Arial" w:cs="Arial"/>
                <w:sz w:val="20"/>
                <w:szCs w:val="20"/>
              </w:rPr>
              <w:t>querida de COAR en el tiempo t.</w:t>
            </w:r>
          </w:p>
          <w:p w14:paraId="4FBD4D60" w14:textId="77777777" w:rsidR="00944F9D" w:rsidRPr="00262BAC" w:rsidRDefault="00944F9D" w:rsidP="009D522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944F9D" w:rsidRPr="00262BAC" w14:paraId="51D6A37A" w14:textId="77777777" w:rsidTr="00DE307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E45C0" w14:textId="77777777" w:rsidR="00944F9D" w:rsidRPr="00262BAC" w:rsidRDefault="00944F9D" w:rsidP="00762211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PERIODICIDAD DE LAS MEDICIONES</w:t>
                  </w:r>
                </w:p>
              </w:tc>
            </w:tr>
          </w:tbl>
          <w:p w14:paraId="324A5929" w14:textId="77777777" w:rsidR="00944F9D" w:rsidRPr="00262BAC" w:rsidRDefault="00944F9D" w:rsidP="00944F9D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94B4B90" w14:textId="77777777" w:rsidR="00944F9D" w:rsidRPr="00262BAC" w:rsidRDefault="00944F9D" w:rsidP="00944F9D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 xml:space="preserve">La periodicidad de medición del indicador será </w:t>
            </w:r>
            <w:r w:rsidR="00EA2768" w:rsidRPr="00262BAC">
              <w:rPr>
                <w:rFonts w:ascii="Arial" w:hAnsi="Arial"/>
                <w:sz w:val="20"/>
                <w:szCs w:val="20"/>
              </w:rPr>
              <w:t>semestral</w:t>
            </w:r>
            <w:r w:rsidRPr="00262BAC">
              <w:rPr>
                <w:rFonts w:ascii="Arial" w:hAnsi="Arial"/>
                <w:sz w:val="20"/>
                <w:szCs w:val="20"/>
              </w:rPr>
              <w:t>.</w:t>
            </w:r>
          </w:p>
          <w:p w14:paraId="089ED312" w14:textId="77777777" w:rsidR="00944F9D" w:rsidRPr="00262BAC" w:rsidRDefault="00944F9D" w:rsidP="00944F9D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944F9D" w:rsidRPr="00262BAC" w14:paraId="2A86982C" w14:textId="77777777" w:rsidTr="00DE307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140166" w14:textId="77777777" w:rsidR="00944F9D" w:rsidRPr="00262BAC" w:rsidRDefault="00944F9D" w:rsidP="00762211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sz w:val="20"/>
                      <w:szCs w:val="20"/>
                    </w:rPr>
                    <w:lastRenderedPageBreak/>
                    <w:br w:type="page"/>
                  </w: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FUENTE DE DATOS</w:t>
                  </w:r>
                </w:p>
              </w:tc>
            </w:tr>
          </w:tbl>
          <w:p w14:paraId="08889BF7" w14:textId="77777777" w:rsidR="009D522B" w:rsidRPr="00262BAC" w:rsidRDefault="009D522B" w:rsidP="009D52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BD40D3F" w14:textId="77580193" w:rsidR="00944F9D" w:rsidRPr="00262BAC" w:rsidRDefault="00762211" w:rsidP="009D522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2BAC">
              <w:rPr>
                <w:rFonts w:ascii="Arial" w:hAnsi="Arial" w:cs="Arial"/>
                <w:sz w:val="20"/>
                <w:szCs w:val="20"/>
                <w:lang w:val="es-MX"/>
              </w:rPr>
              <w:t>Ministerio de Economía y Finanzas (</w:t>
            </w:r>
            <w:r w:rsidR="000D5334" w:rsidRPr="00262BAC">
              <w:rPr>
                <w:rFonts w:ascii="Arial" w:hAnsi="Arial" w:cs="Arial"/>
                <w:sz w:val="20"/>
                <w:szCs w:val="20"/>
                <w:lang w:val="es-MX"/>
              </w:rPr>
              <w:t>MEF</w:t>
            </w:r>
            <w:r w:rsidRPr="00262BAC">
              <w:rPr>
                <w:rFonts w:ascii="Arial" w:hAnsi="Arial" w:cs="Arial"/>
                <w:sz w:val="20"/>
                <w:szCs w:val="20"/>
                <w:lang w:val="es-MX"/>
              </w:rPr>
              <w:t xml:space="preserve">), a través </w:t>
            </w:r>
            <w:r w:rsidRPr="00B761FC">
              <w:rPr>
                <w:rFonts w:ascii="Arial" w:hAnsi="Arial" w:cs="Arial"/>
                <w:sz w:val="20"/>
                <w:szCs w:val="20"/>
                <w:lang w:val="es-MX"/>
              </w:rPr>
              <w:t xml:space="preserve">del </w:t>
            </w:r>
            <w:r w:rsidR="006E3826">
              <w:rPr>
                <w:rFonts w:ascii="Arial" w:hAnsi="Arial" w:cs="Arial"/>
                <w:sz w:val="20"/>
                <w:szCs w:val="20"/>
                <w:lang w:val="es-MX"/>
              </w:rPr>
              <w:t>Sistema de Seguimiento de Inversiones (SSI).</w:t>
            </w:r>
            <w:bookmarkStart w:id="0" w:name="_GoBack"/>
            <w:bookmarkEnd w:id="0"/>
          </w:p>
          <w:p w14:paraId="110D24C6" w14:textId="7AD31A86" w:rsidR="00171998" w:rsidRPr="00262BAC" w:rsidRDefault="006E3826" w:rsidP="009D522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Oficina de Programación Multianual de Inversiones del Sector Educación</w:t>
            </w:r>
            <w:r w:rsidR="00762211" w:rsidRPr="00262BAC">
              <w:rPr>
                <w:rFonts w:ascii="Arial" w:hAnsi="Arial" w:cs="Arial"/>
                <w:sz w:val="20"/>
                <w:szCs w:val="20"/>
                <w:lang w:val="es-MX"/>
              </w:rPr>
              <w:t>, a través del tablero</w:t>
            </w:r>
            <w:r w:rsidR="00171998" w:rsidRPr="00262BAC">
              <w:rPr>
                <w:rFonts w:ascii="Arial" w:hAnsi="Arial" w:cs="Arial"/>
                <w:sz w:val="20"/>
                <w:szCs w:val="20"/>
                <w:lang w:val="es-MX"/>
              </w:rPr>
              <w:t xml:space="preserve"> de</w:t>
            </w:r>
            <w:r w:rsidR="00940DDD" w:rsidRPr="00262BAC">
              <w:rPr>
                <w:rFonts w:ascii="Arial" w:hAnsi="Arial" w:cs="Arial"/>
                <w:sz w:val="20"/>
                <w:szCs w:val="20"/>
                <w:lang w:val="es-MX"/>
              </w:rPr>
              <w:t xml:space="preserve"> s</w:t>
            </w:r>
            <w:r w:rsidR="00762211" w:rsidRPr="00262BAC">
              <w:rPr>
                <w:rFonts w:ascii="Arial" w:hAnsi="Arial" w:cs="Arial"/>
                <w:sz w:val="20"/>
                <w:szCs w:val="20"/>
                <w:lang w:val="es-MX"/>
              </w:rPr>
              <w:t>eguimiento de COAR</w:t>
            </w:r>
            <w:r w:rsidR="002A1847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14:paraId="40486F36" w14:textId="77777777" w:rsidR="00944F9D" w:rsidRPr="00262BAC" w:rsidRDefault="00944F9D" w:rsidP="00944F9D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944F9D" w:rsidRPr="00262BAC" w14:paraId="4F1BC7A7" w14:textId="77777777" w:rsidTr="00DE307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DF35B2" w14:textId="77777777" w:rsidR="00944F9D" w:rsidRPr="00262BAC" w:rsidRDefault="00944F9D" w:rsidP="00762211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BASE DE DATOS</w:t>
                  </w:r>
                </w:p>
              </w:tc>
            </w:tr>
          </w:tbl>
          <w:p w14:paraId="77C73146" w14:textId="77777777" w:rsidR="00944F9D" w:rsidRPr="00AA4D7D" w:rsidRDefault="00944F9D" w:rsidP="00AA4D7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4A0B241" w14:textId="157A3C49" w:rsidR="000504E7" w:rsidRDefault="00F452D9" w:rsidP="00AA4D7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Sistema de S</w:t>
            </w:r>
            <w:r w:rsidR="006E3826">
              <w:rPr>
                <w:rFonts w:ascii="Arial" w:hAnsi="Arial" w:cs="Arial"/>
                <w:sz w:val="20"/>
                <w:szCs w:val="20"/>
                <w:lang w:val="es-MX"/>
              </w:rPr>
              <w:t>eguimiento de Inversiones (SSI)</w:t>
            </w:r>
            <w:r w:rsidR="00F40FDB" w:rsidRPr="00AA4D7D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14:paraId="1780899A" w14:textId="63E34892" w:rsidR="00F35B75" w:rsidRPr="00AA4D7D" w:rsidRDefault="00940DDD" w:rsidP="00AA4D7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A4D7D">
              <w:rPr>
                <w:rFonts w:ascii="Arial" w:hAnsi="Arial" w:cs="Arial"/>
                <w:sz w:val="20"/>
                <w:szCs w:val="20"/>
                <w:lang w:val="es-MX"/>
              </w:rPr>
              <w:t xml:space="preserve">Tablero de seguimiento de </w:t>
            </w:r>
            <w:r w:rsidR="00762211" w:rsidRPr="00AA4D7D">
              <w:rPr>
                <w:rFonts w:ascii="Arial" w:hAnsi="Arial" w:cs="Arial"/>
                <w:sz w:val="20"/>
                <w:szCs w:val="20"/>
                <w:lang w:val="es-MX"/>
              </w:rPr>
              <w:t>COAR</w:t>
            </w:r>
          </w:p>
          <w:p w14:paraId="392BA4A0" w14:textId="77777777" w:rsidR="00F35B75" w:rsidRPr="00262BAC" w:rsidRDefault="00F35B75" w:rsidP="00944F9D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944F9D" w:rsidRPr="00262BAC" w14:paraId="631D245A" w14:textId="77777777" w:rsidTr="00DE307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575322" w14:textId="77777777" w:rsidR="00944F9D" w:rsidRPr="00262BAC" w:rsidRDefault="00944F9D" w:rsidP="00762211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INSTRUMENTO DE RECOLECCIÓN DE INFORMACIÓN</w:t>
                  </w:r>
                </w:p>
              </w:tc>
            </w:tr>
          </w:tbl>
          <w:p w14:paraId="70088B33" w14:textId="77777777" w:rsidR="00944F9D" w:rsidRPr="00262BAC" w:rsidRDefault="00944F9D" w:rsidP="00944F9D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4F1EB8C" w14:textId="0FE6422A" w:rsidR="00762211" w:rsidRPr="00262BAC" w:rsidRDefault="00762211" w:rsidP="00944F9D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Tablero de seguimiento de COAR</w:t>
            </w:r>
          </w:p>
          <w:p w14:paraId="12D1230F" w14:textId="7C3CAC4B" w:rsidR="009D522B" w:rsidRPr="00262BAC" w:rsidRDefault="00762211" w:rsidP="009D522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Avance físico del proyecto</w:t>
            </w:r>
          </w:p>
          <w:p w14:paraId="7C3AAFEA" w14:textId="7B218D3A" w:rsidR="00940DDD" w:rsidRPr="00262BAC" w:rsidRDefault="00762211" w:rsidP="009D522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Avance financiero del proyecto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4"/>
            </w:tblGrid>
            <w:tr w:rsidR="00944F9D" w:rsidRPr="00262BAC" w14:paraId="4A498544" w14:textId="77777777" w:rsidTr="00DE307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2C085D" w14:textId="77777777" w:rsidR="00944F9D" w:rsidRPr="00262BAC" w:rsidRDefault="00944F9D" w:rsidP="00762211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262BA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SINTAXIS</w:t>
                  </w:r>
                </w:p>
              </w:tc>
            </w:tr>
          </w:tbl>
          <w:p w14:paraId="018A655D" w14:textId="77777777" w:rsidR="00F35B75" w:rsidRDefault="00F35B75" w:rsidP="00F35B7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4F1CC27" w14:textId="3EAE4D40" w:rsidR="00201274" w:rsidRPr="00291098" w:rsidRDefault="00201274" w:rsidP="002910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*La sintaxis fue generada con el software STATA 13</w:t>
            </w:r>
          </w:p>
          <w:p w14:paraId="0B31C4B8" w14:textId="77777777" w:rsidR="00201274" w:rsidRPr="00262BAC" w:rsidRDefault="00201274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20569AB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clear all</w:t>
            </w:r>
          </w:p>
          <w:p w14:paraId="14B383A7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set more off</w:t>
            </w:r>
          </w:p>
          <w:p w14:paraId="45CE542E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33BC38E" w14:textId="21DBF17E" w:rsidR="005F5958" w:rsidRPr="00C37D80" w:rsidRDefault="005F5958" w:rsidP="005F595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cd "C:\Users\Sintaxis</w:t>
            </w:r>
            <w:r w:rsidR="006E3826">
              <w:rPr>
                <w:rFonts w:ascii="Arial" w:hAnsi="Arial"/>
                <w:sz w:val="20"/>
                <w:szCs w:val="20"/>
                <w:lang w:val="es-PE"/>
              </w:rPr>
              <w:t>\Indicadores Cobertura\CALIDAD</w:t>
            </w:r>
            <w:r w:rsidRPr="00C37D80">
              <w:rPr>
                <w:rFonts w:ascii="Arial" w:hAnsi="Arial"/>
                <w:sz w:val="20"/>
                <w:szCs w:val="20"/>
                <w:lang w:val="es-PE"/>
              </w:rPr>
              <w:t>_</w:t>
            </w:r>
            <w:r w:rsidRPr="00262BAC">
              <w:rPr>
                <w:rFonts w:ascii="Arial" w:hAnsi="Arial"/>
                <w:sz w:val="20"/>
                <w:szCs w:val="20"/>
              </w:rPr>
              <w:t xml:space="preserve"> COAR</w:t>
            </w:r>
            <w:r w:rsidRPr="00C37D80">
              <w:rPr>
                <w:rFonts w:ascii="Arial" w:hAnsi="Arial"/>
                <w:sz w:val="20"/>
                <w:szCs w:val="20"/>
                <w:lang w:val="es-PE"/>
              </w:rPr>
              <w:t xml:space="preserve"> "</w:t>
            </w:r>
          </w:p>
          <w:p w14:paraId="45ACD978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31FB84C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 xml:space="preserve">clear </w:t>
            </w:r>
          </w:p>
          <w:p w14:paraId="42EDFE12" w14:textId="77777777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A511CF">
              <w:rPr>
                <w:rFonts w:ascii="Arial" w:hAnsi="Arial"/>
                <w:sz w:val="20"/>
                <w:szCs w:val="20"/>
                <w:lang w:val="en-US"/>
              </w:rPr>
              <w:t>import excel "TABLERO_COAR.xlsx", sheet("Hoja1") firstrow</w:t>
            </w:r>
          </w:p>
          <w:p w14:paraId="3F38D6CD" w14:textId="77777777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02953D49" w14:textId="77777777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325CBF96" w14:textId="77777777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A511CF">
              <w:rPr>
                <w:rFonts w:ascii="Arial" w:hAnsi="Arial"/>
                <w:sz w:val="20"/>
                <w:szCs w:val="20"/>
                <w:lang w:val="en-US"/>
              </w:rPr>
              <w:t xml:space="preserve">gen coar_implementado= 0 </w:t>
            </w:r>
          </w:p>
          <w:p w14:paraId="2B2E9B76" w14:textId="77777777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A511CF">
              <w:rPr>
                <w:rFonts w:ascii="Arial" w:hAnsi="Arial"/>
                <w:sz w:val="20"/>
                <w:szCs w:val="20"/>
                <w:lang w:val="en-US"/>
              </w:rPr>
              <w:t>replace coar_implementado=1 if AVANCE_FISICO==1 | AVANCE_FINANCIERO==1</w:t>
            </w:r>
          </w:p>
          <w:p w14:paraId="360ED0AA" w14:textId="77777777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7167D894" w14:textId="77777777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A511CF">
              <w:rPr>
                <w:rFonts w:ascii="Arial" w:hAnsi="Arial"/>
                <w:sz w:val="20"/>
                <w:szCs w:val="20"/>
                <w:lang w:val="en-US"/>
              </w:rPr>
              <w:t>gen total_coar =1</w:t>
            </w:r>
          </w:p>
          <w:p w14:paraId="37ECA944" w14:textId="77777777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0D266727" w14:textId="77777777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A511CF">
              <w:rPr>
                <w:rFonts w:ascii="Arial" w:hAnsi="Arial"/>
                <w:sz w:val="20"/>
                <w:szCs w:val="20"/>
                <w:lang w:val="en-US"/>
              </w:rPr>
              <w:t>egen CI = sum(coar_implementado) if coar_implementado&gt;0</w:t>
            </w:r>
          </w:p>
          <w:p w14:paraId="155007A8" w14:textId="77777777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A511CF">
              <w:rPr>
                <w:rFonts w:ascii="Arial" w:hAnsi="Arial"/>
                <w:sz w:val="20"/>
                <w:szCs w:val="20"/>
                <w:lang w:val="en-US"/>
              </w:rPr>
              <w:t>replace CI = 0 if CI==.</w:t>
            </w:r>
          </w:p>
          <w:p w14:paraId="3A426C42" w14:textId="77777777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A511CF">
              <w:rPr>
                <w:rFonts w:ascii="Arial" w:hAnsi="Arial"/>
                <w:sz w:val="20"/>
                <w:szCs w:val="20"/>
                <w:lang w:val="en-US"/>
              </w:rPr>
              <w:t>egen CT = sum(total_coar)</w:t>
            </w:r>
          </w:p>
          <w:p w14:paraId="213FEA9B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replace CT = 0 if CT==.</w:t>
            </w:r>
          </w:p>
          <w:p w14:paraId="2C1812DA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298072B" w14:textId="77777777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A511CF">
              <w:rPr>
                <w:rFonts w:ascii="Arial" w:hAnsi="Arial"/>
                <w:sz w:val="20"/>
                <w:szCs w:val="20"/>
                <w:lang w:val="en-US"/>
              </w:rPr>
              <w:t>gen COB = round((CI/CT)*100,0.1)</w:t>
            </w:r>
          </w:p>
          <w:p w14:paraId="0D57CB86" w14:textId="6A9EFB39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A511CF">
              <w:rPr>
                <w:rFonts w:ascii="Arial" w:hAnsi="Arial"/>
                <w:sz w:val="20"/>
                <w:szCs w:val="20"/>
                <w:lang w:val="en-US"/>
              </w:rPr>
              <w:t xml:space="preserve">gen </w:t>
            </w:r>
            <w:r w:rsidR="001F0280">
              <w:rPr>
                <w:rFonts w:ascii="Arial" w:hAnsi="Arial"/>
                <w:sz w:val="20"/>
                <w:szCs w:val="20"/>
                <w:lang w:val="en-US"/>
              </w:rPr>
              <w:t>PC</w:t>
            </w:r>
            <w:r w:rsidR="002A1847">
              <w:rPr>
                <w:rFonts w:ascii="Arial" w:hAnsi="Arial"/>
                <w:sz w:val="20"/>
                <w:szCs w:val="20"/>
                <w:lang w:val="en-US"/>
              </w:rPr>
              <w:t>ARS</w:t>
            </w:r>
            <w:r w:rsidR="001F0280"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 w:rsidRPr="00A511CF">
              <w:rPr>
                <w:rFonts w:ascii="Arial" w:hAnsi="Arial"/>
                <w:sz w:val="20"/>
                <w:szCs w:val="20"/>
                <w:lang w:val="en-US"/>
              </w:rPr>
              <w:t xml:space="preserve"> = -(round((CI/CT)*100,0.1)-100)</w:t>
            </w:r>
          </w:p>
          <w:p w14:paraId="7C27916B" w14:textId="77777777" w:rsidR="003E4CC3" w:rsidRPr="00A511CF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1502A97D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*Cantidad total de COAR implementados</w:t>
            </w:r>
          </w:p>
          <w:p w14:paraId="222CDE61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dis CI</w:t>
            </w:r>
          </w:p>
          <w:p w14:paraId="2E5BEB08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75469CD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*Oferta requerida COAR</w:t>
            </w:r>
          </w:p>
          <w:p w14:paraId="1C6B936C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dis CT</w:t>
            </w:r>
          </w:p>
          <w:p w14:paraId="660367AE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BAD690F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*Porcentaje de COAR implementados</w:t>
            </w:r>
          </w:p>
          <w:p w14:paraId="36A43F0A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dis COB</w:t>
            </w:r>
          </w:p>
          <w:p w14:paraId="56132D43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8BC39E2" w14:textId="77777777" w:rsidR="003E4CC3" w:rsidRPr="00262BAC" w:rsidRDefault="003E4CC3" w:rsidP="003E4CC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>*Porcentaje de COAR sin implementación (brecha de cobertura)</w:t>
            </w:r>
          </w:p>
          <w:p w14:paraId="6014D85F" w14:textId="7018A53A" w:rsidR="009D522B" w:rsidRPr="00262BAC" w:rsidRDefault="003E4CC3" w:rsidP="00F35B7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62BAC">
              <w:rPr>
                <w:rFonts w:ascii="Arial" w:hAnsi="Arial"/>
                <w:sz w:val="20"/>
                <w:szCs w:val="20"/>
              </w:rPr>
              <w:t xml:space="preserve">dis </w:t>
            </w:r>
            <w:r w:rsidR="001F0280">
              <w:rPr>
                <w:rFonts w:ascii="Arial" w:hAnsi="Arial"/>
                <w:sz w:val="20"/>
                <w:szCs w:val="20"/>
              </w:rPr>
              <w:t>PC</w:t>
            </w:r>
            <w:r w:rsidR="002A1847">
              <w:rPr>
                <w:rFonts w:ascii="Arial" w:hAnsi="Arial"/>
                <w:sz w:val="20"/>
                <w:szCs w:val="20"/>
              </w:rPr>
              <w:t>ARS</w:t>
            </w:r>
            <w:r w:rsidR="001F0280">
              <w:rPr>
                <w:rFonts w:ascii="Arial" w:hAnsi="Arial"/>
                <w:sz w:val="20"/>
                <w:szCs w:val="20"/>
              </w:rPr>
              <w:t>I</w:t>
            </w:r>
          </w:p>
          <w:p w14:paraId="720358CD" w14:textId="7BB168F7" w:rsidR="00762211" w:rsidRPr="00262BAC" w:rsidRDefault="00762211" w:rsidP="00F35B7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7BABF05" w14:textId="77777777" w:rsidR="00C963F2" w:rsidRPr="00A55CEC" w:rsidRDefault="00C963F2" w:rsidP="00421A4E">
      <w:pPr>
        <w:spacing w:after="0" w:line="240" w:lineRule="auto"/>
        <w:rPr>
          <w:sz w:val="20"/>
          <w:szCs w:val="20"/>
          <w:lang w:val="es-PE"/>
        </w:rPr>
      </w:pPr>
    </w:p>
    <w:p w14:paraId="723EE0B4" w14:textId="77777777" w:rsidR="000B300A" w:rsidRPr="00A55CEC" w:rsidRDefault="000B300A" w:rsidP="00421A4E">
      <w:pPr>
        <w:spacing w:after="0" w:line="240" w:lineRule="auto"/>
        <w:rPr>
          <w:sz w:val="20"/>
          <w:szCs w:val="20"/>
          <w:lang w:val="es-PE"/>
        </w:rPr>
      </w:pPr>
    </w:p>
    <w:sectPr w:rsidR="000B300A" w:rsidRPr="00A55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491FB" w14:textId="77777777" w:rsidR="00C10EA3" w:rsidRDefault="00C10EA3" w:rsidP="00075DBE">
      <w:pPr>
        <w:spacing w:after="0" w:line="240" w:lineRule="auto"/>
      </w:pPr>
      <w:r>
        <w:separator/>
      </w:r>
    </w:p>
  </w:endnote>
  <w:endnote w:type="continuationSeparator" w:id="0">
    <w:p w14:paraId="700302BD" w14:textId="77777777" w:rsidR="00C10EA3" w:rsidRDefault="00C10EA3" w:rsidP="0007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2B60D" w14:textId="77777777" w:rsidR="00C10EA3" w:rsidRDefault="00C10EA3" w:rsidP="00075DBE">
      <w:pPr>
        <w:spacing w:after="0" w:line="240" w:lineRule="auto"/>
      </w:pPr>
      <w:r>
        <w:separator/>
      </w:r>
    </w:p>
  </w:footnote>
  <w:footnote w:type="continuationSeparator" w:id="0">
    <w:p w14:paraId="03E7259B" w14:textId="77777777" w:rsidR="00C10EA3" w:rsidRDefault="00C10EA3" w:rsidP="0007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319"/>
    <w:multiLevelType w:val="hybridMultilevel"/>
    <w:tmpl w:val="56B49F10"/>
    <w:lvl w:ilvl="0" w:tplc="CE788A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2413"/>
    <w:multiLevelType w:val="hybridMultilevel"/>
    <w:tmpl w:val="2F58C6D6"/>
    <w:lvl w:ilvl="0" w:tplc="48485572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759D"/>
    <w:multiLevelType w:val="hybridMultilevel"/>
    <w:tmpl w:val="AAECC5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0F0F"/>
    <w:multiLevelType w:val="hybridMultilevel"/>
    <w:tmpl w:val="D9288CE4"/>
    <w:lvl w:ilvl="0" w:tplc="48485572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56EB4"/>
    <w:multiLevelType w:val="hybridMultilevel"/>
    <w:tmpl w:val="889A13AC"/>
    <w:lvl w:ilvl="0" w:tplc="48485572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5478"/>
    <w:multiLevelType w:val="hybridMultilevel"/>
    <w:tmpl w:val="900EE7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71569"/>
    <w:multiLevelType w:val="hybridMultilevel"/>
    <w:tmpl w:val="198431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42620"/>
    <w:multiLevelType w:val="hybridMultilevel"/>
    <w:tmpl w:val="894E0D0A"/>
    <w:lvl w:ilvl="0" w:tplc="42563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914E2"/>
    <w:multiLevelType w:val="hybridMultilevel"/>
    <w:tmpl w:val="5232E24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D23E4B"/>
    <w:multiLevelType w:val="hybridMultilevel"/>
    <w:tmpl w:val="FE9C63C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294A66"/>
    <w:multiLevelType w:val="hybridMultilevel"/>
    <w:tmpl w:val="A0848DCC"/>
    <w:lvl w:ilvl="0" w:tplc="65E6A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8645E"/>
    <w:multiLevelType w:val="hybridMultilevel"/>
    <w:tmpl w:val="67685B78"/>
    <w:lvl w:ilvl="0" w:tplc="42563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F844A2"/>
    <w:multiLevelType w:val="hybridMultilevel"/>
    <w:tmpl w:val="8D44D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41538"/>
    <w:multiLevelType w:val="hybridMultilevel"/>
    <w:tmpl w:val="7D245618"/>
    <w:lvl w:ilvl="0" w:tplc="280A0017">
      <w:start w:val="1"/>
      <w:numFmt w:val="lowerLetter"/>
      <w:lvlText w:val="%1)"/>
      <w:lvlJc w:val="left"/>
      <w:pPr>
        <w:ind w:left="-1422" w:hanging="360"/>
      </w:pPr>
    </w:lvl>
    <w:lvl w:ilvl="1" w:tplc="280A0019" w:tentative="1">
      <w:start w:val="1"/>
      <w:numFmt w:val="lowerLetter"/>
      <w:lvlText w:val="%2."/>
      <w:lvlJc w:val="left"/>
      <w:pPr>
        <w:ind w:left="-702" w:hanging="360"/>
      </w:pPr>
    </w:lvl>
    <w:lvl w:ilvl="2" w:tplc="280A001B" w:tentative="1">
      <w:start w:val="1"/>
      <w:numFmt w:val="lowerRoman"/>
      <w:lvlText w:val="%3."/>
      <w:lvlJc w:val="right"/>
      <w:pPr>
        <w:ind w:left="18" w:hanging="180"/>
      </w:pPr>
    </w:lvl>
    <w:lvl w:ilvl="3" w:tplc="280A000F" w:tentative="1">
      <w:start w:val="1"/>
      <w:numFmt w:val="decimal"/>
      <w:lvlText w:val="%4."/>
      <w:lvlJc w:val="left"/>
      <w:pPr>
        <w:ind w:left="738" w:hanging="360"/>
      </w:pPr>
    </w:lvl>
    <w:lvl w:ilvl="4" w:tplc="280A0019" w:tentative="1">
      <w:start w:val="1"/>
      <w:numFmt w:val="lowerLetter"/>
      <w:lvlText w:val="%5."/>
      <w:lvlJc w:val="left"/>
      <w:pPr>
        <w:ind w:left="1458" w:hanging="360"/>
      </w:pPr>
    </w:lvl>
    <w:lvl w:ilvl="5" w:tplc="280A001B" w:tentative="1">
      <w:start w:val="1"/>
      <w:numFmt w:val="lowerRoman"/>
      <w:lvlText w:val="%6."/>
      <w:lvlJc w:val="right"/>
      <w:pPr>
        <w:ind w:left="2178" w:hanging="180"/>
      </w:pPr>
    </w:lvl>
    <w:lvl w:ilvl="6" w:tplc="280A000F" w:tentative="1">
      <w:start w:val="1"/>
      <w:numFmt w:val="decimal"/>
      <w:lvlText w:val="%7."/>
      <w:lvlJc w:val="left"/>
      <w:pPr>
        <w:ind w:left="2898" w:hanging="360"/>
      </w:pPr>
    </w:lvl>
    <w:lvl w:ilvl="7" w:tplc="280A0019" w:tentative="1">
      <w:start w:val="1"/>
      <w:numFmt w:val="lowerLetter"/>
      <w:lvlText w:val="%8."/>
      <w:lvlJc w:val="left"/>
      <w:pPr>
        <w:ind w:left="3618" w:hanging="360"/>
      </w:pPr>
    </w:lvl>
    <w:lvl w:ilvl="8" w:tplc="280A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14" w15:restartNumberingAfterBreak="0">
    <w:nsid w:val="67AC6CAA"/>
    <w:multiLevelType w:val="hybridMultilevel"/>
    <w:tmpl w:val="19E8636A"/>
    <w:lvl w:ilvl="0" w:tplc="42563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2F3BAF"/>
    <w:multiLevelType w:val="hybridMultilevel"/>
    <w:tmpl w:val="CD78FDEE"/>
    <w:lvl w:ilvl="0" w:tplc="CE788A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9306D"/>
    <w:multiLevelType w:val="hybridMultilevel"/>
    <w:tmpl w:val="AD46D2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D7F3E"/>
    <w:multiLevelType w:val="hybridMultilevel"/>
    <w:tmpl w:val="4ED0139A"/>
    <w:lvl w:ilvl="0" w:tplc="190C5CA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8EEA0D18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5A60AE56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E2522"/>
    <w:multiLevelType w:val="hybridMultilevel"/>
    <w:tmpl w:val="722A17D4"/>
    <w:lvl w:ilvl="0" w:tplc="42563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3"/>
  </w:num>
  <w:num w:numId="5">
    <w:abstractNumId w:val="10"/>
  </w:num>
  <w:num w:numId="6">
    <w:abstractNumId w:val="7"/>
  </w:num>
  <w:num w:numId="7">
    <w:abstractNumId w:val="17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15"/>
  </w:num>
  <w:num w:numId="14">
    <w:abstractNumId w:val="12"/>
  </w:num>
  <w:num w:numId="15">
    <w:abstractNumId w:val="5"/>
  </w:num>
  <w:num w:numId="16">
    <w:abstractNumId w:val="8"/>
  </w:num>
  <w:num w:numId="17">
    <w:abstractNumId w:val="6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DA"/>
    <w:rsid w:val="00007BD2"/>
    <w:rsid w:val="0003350E"/>
    <w:rsid w:val="000504E7"/>
    <w:rsid w:val="00056923"/>
    <w:rsid w:val="00057412"/>
    <w:rsid w:val="00064280"/>
    <w:rsid w:val="00065977"/>
    <w:rsid w:val="00072549"/>
    <w:rsid w:val="0007571B"/>
    <w:rsid w:val="00075DBE"/>
    <w:rsid w:val="00086D7F"/>
    <w:rsid w:val="00097CB7"/>
    <w:rsid w:val="000A2038"/>
    <w:rsid w:val="000A48B5"/>
    <w:rsid w:val="000B300A"/>
    <w:rsid w:val="000C07F2"/>
    <w:rsid w:val="000D5334"/>
    <w:rsid w:val="000E1B00"/>
    <w:rsid w:val="000F4BD4"/>
    <w:rsid w:val="00103FAB"/>
    <w:rsid w:val="00114075"/>
    <w:rsid w:val="0011655D"/>
    <w:rsid w:val="0012795C"/>
    <w:rsid w:val="001312A4"/>
    <w:rsid w:val="00146958"/>
    <w:rsid w:val="00146DDE"/>
    <w:rsid w:val="00157F2E"/>
    <w:rsid w:val="00160473"/>
    <w:rsid w:val="00171998"/>
    <w:rsid w:val="001A23CA"/>
    <w:rsid w:val="001B3245"/>
    <w:rsid w:val="001C2D15"/>
    <w:rsid w:val="001C5565"/>
    <w:rsid w:val="001C63B0"/>
    <w:rsid w:val="001D59B5"/>
    <w:rsid w:val="001F0280"/>
    <w:rsid w:val="00201274"/>
    <w:rsid w:val="00207658"/>
    <w:rsid w:val="00211D9B"/>
    <w:rsid w:val="00215729"/>
    <w:rsid w:val="002349A2"/>
    <w:rsid w:val="0025026A"/>
    <w:rsid w:val="0025665F"/>
    <w:rsid w:val="00262BAC"/>
    <w:rsid w:val="00291098"/>
    <w:rsid w:val="002A1847"/>
    <w:rsid w:val="002C371E"/>
    <w:rsid w:val="002C490B"/>
    <w:rsid w:val="002D2E4D"/>
    <w:rsid w:val="0030662A"/>
    <w:rsid w:val="003132CB"/>
    <w:rsid w:val="0031612A"/>
    <w:rsid w:val="003332DD"/>
    <w:rsid w:val="00336682"/>
    <w:rsid w:val="00375F02"/>
    <w:rsid w:val="003B2085"/>
    <w:rsid w:val="003E4CC3"/>
    <w:rsid w:val="003F744B"/>
    <w:rsid w:val="0040114B"/>
    <w:rsid w:val="00413DFD"/>
    <w:rsid w:val="0041696A"/>
    <w:rsid w:val="00421A4E"/>
    <w:rsid w:val="0042346A"/>
    <w:rsid w:val="00425002"/>
    <w:rsid w:val="00455884"/>
    <w:rsid w:val="004572BE"/>
    <w:rsid w:val="00457A35"/>
    <w:rsid w:val="00457F71"/>
    <w:rsid w:val="00460A60"/>
    <w:rsid w:val="00464479"/>
    <w:rsid w:val="00470370"/>
    <w:rsid w:val="00471C05"/>
    <w:rsid w:val="004A0405"/>
    <w:rsid w:val="004B7303"/>
    <w:rsid w:val="004D1B16"/>
    <w:rsid w:val="00513926"/>
    <w:rsid w:val="0051425E"/>
    <w:rsid w:val="005435A5"/>
    <w:rsid w:val="0055121C"/>
    <w:rsid w:val="00555A54"/>
    <w:rsid w:val="00563AF0"/>
    <w:rsid w:val="005656F3"/>
    <w:rsid w:val="005A3B3D"/>
    <w:rsid w:val="005A65BE"/>
    <w:rsid w:val="005D1936"/>
    <w:rsid w:val="005F21FB"/>
    <w:rsid w:val="005F5958"/>
    <w:rsid w:val="005F6A37"/>
    <w:rsid w:val="0060109E"/>
    <w:rsid w:val="006117E1"/>
    <w:rsid w:val="006122B7"/>
    <w:rsid w:val="006346D8"/>
    <w:rsid w:val="00636E06"/>
    <w:rsid w:val="00667489"/>
    <w:rsid w:val="00673E6D"/>
    <w:rsid w:val="00682BDA"/>
    <w:rsid w:val="00691303"/>
    <w:rsid w:val="006B6DAC"/>
    <w:rsid w:val="006E3826"/>
    <w:rsid w:val="006E7057"/>
    <w:rsid w:val="006F0246"/>
    <w:rsid w:val="00700C3A"/>
    <w:rsid w:val="00707622"/>
    <w:rsid w:val="0071394D"/>
    <w:rsid w:val="00756877"/>
    <w:rsid w:val="00757173"/>
    <w:rsid w:val="00762211"/>
    <w:rsid w:val="007825F7"/>
    <w:rsid w:val="007C65AE"/>
    <w:rsid w:val="007E1393"/>
    <w:rsid w:val="0080736D"/>
    <w:rsid w:val="00817CF6"/>
    <w:rsid w:val="008235C8"/>
    <w:rsid w:val="008411E4"/>
    <w:rsid w:val="00854291"/>
    <w:rsid w:val="00874910"/>
    <w:rsid w:val="00880688"/>
    <w:rsid w:val="008B3B16"/>
    <w:rsid w:val="008B6258"/>
    <w:rsid w:val="008C027F"/>
    <w:rsid w:val="008C7B56"/>
    <w:rsid w:val="008D4326"/>
    <w:rsid w:val="00901A21"/>
    <w:rsid w:val="009228E8"/>
    <w:rsid w:val="00930443"/>
    <w:rsid w:val="009315A8"/>
    <w:rsid w:val="00940DDD"/>
    <w:rsid w:val="00944F9D"/>
    <w:rsid w:val="00945C64"/>
    <w:rsid w:val="00950812"/>
    <w:rsid w:val="00962EEC"/>
    <w:rsid w:val="00990178"/>
    <w:rsid w:val="009B302F"/>
    <w:rsid w:val="009C3EB3"/>
    <w:rsid w:val="009D0C62"/>
    <w:rsid w:val="009D522B"/>
    <w:rsid w:val="009E1A6E"/>
    <w:rsid w:val="009E1FF7"/>
    <w:rsid w:val="009F5639"/>
    <w:rsid w:val="00A2751F"/>
    <w:rsid w:val="00A3177F"/>
    <w:rsid w:val="00A3213B"/>
    <w:rsid w:val="00A34022"/>
    <w:rsid w:val="00A511CF"/>
    <w:rsid w:val="00A55CEC"/>
    <w:rsid w:val="00A60332"/>
    <w:rsid w:val="00A611B3"/>
    <w:rsid w:val="00A64C46"/>
    <w:rsid w:val="00A777D4"/>
    <w:rsid w:val="00A90776"/>
    <w:rsid w:val="00A919E3"/>
    <w:rsid w:val="00A92AA3"/>
    <w:rsid w:val="00A95B48"/>
    <w:rsid w:val="00A96FDC"/>
    <w:rsid w:val="00AA4D7D"/>
    <w:rsid w:val="00AB44D9"/>
    <w:rsid w:val="00AB4B0C"/>
    <w:rsid w:val="00AB7C7B"/>
    <w:rsid w:val="00AD149E"/>
    <w:rsid w:val="00B109BF"/>
    <w:rsid w:val="00B161AC"/>
    <w:rsid w:val="00B5070A"/>
    <w:rsid w:val="00B658A8"/>
    <w:rsid w:val="00B70E1C"/>
    <w:rsid w:val="00B71C5D"/>
    <w:rsid w:val="00B761FC"/>
    <w:rsid w:val="00B77E66"/>
    <w:rsid w:val="00B86738"/>
    <w:rsid w:val="00B94E1F"/>
    <w:rsid w:val="00B9515A"/>
    <w:rsid w:val="00B965BA"/>
    <w:rsid w:val="00BB1AC2"/>
    <w:rsid w:val="00BB6C15"/>
    <w:rsid w:val="00BD40C8"/>
    <w:rsid w:val="00BE052C"/>
    <w:rsid w:val="00BE2E18"/>
    <w:rsid w:val="00C10EA3"/>
    <w:rsid w:val="00C17F62"/>
    <w:rsid w:val="00C20967"/>
    <w:rsid w:val="00C238BA"/>
    <w:rsid w:val="00C250D1"/>
    <w:rsid w:val="00C30125"/>
    <w:rsid w:val="00C46968"/>
    <w:rsid w:val="00C55ABC"/>
    <w:rsid w:val="00C56C44"/>
    <w:rsid w:val="00C60DD9"/>
    <w:rsid w:val="00C643CF"/>
    <w:rsid w:val="00C64945"/>
    <w:rsid w:val="00C66396"/>
    <w:rsid w:val="00C7024E"/>
    <w:rsid w:val="00C70D07"/>
    <w:rsid w:val="00C736A0"/>
    <w:rsid w:val="00C81864"/>
    <w:rsid w:val="00C90D38"/>
    <w:rsid w:val="00C91A4A"/>
    <w:rsid w:val="00C963F2"/>
    <w:rsid w:val="00CA5551"/>
    <w:rsid w:val="00CA7F59"/>
    <w:rsid w:val="00CB57D3"/>
    <w:rsid w:val="00CE2798"/>
    <w:rsid w:val="00CE418B"/>
    <w:rsid w:val="00CF7DA7"/>
    <w:rsid w:val="00D13A37"/>
    <w:rsid w:val="00D27E45"/>
    <w:rsid w:val="00D47685"/>
    <w:rsid w:val="00D52A3F"/>
    <w:rsid w:val="00D570EF"/>
    <w:rsid w:val="00D6379B"/>
    <w:rsid w:val="00D738BD"/>
    <w:rsid w:val="00D80F9E"/>
    <w:rsid w:val="00DC0813"/>
    <w:rsid w:val="00DC456E"/>
    <w:rsid w:val="00DE5709"/>
    <w:rsid w:val="00E07DA3"/>
    <w:rsid w:val="00E20CDA"/>
    <w:rsid w:val="00E2536A"/>
    <w:rsid w:val="00E35D19"/>
    <w:rsid w:val="00E62766"/>
    <w:rsid w:val="00EA2768"/>
    <w:rsid w:val="00EB3AAB"/>
    <w:rsid w:val="00EC1FF3"/>
    <w:rsid w:val="00EC68F4"/>
    <w:rsid w:val="00EC7F1D"/>
    <w:rsid w:val="00ED24E4"/>
    <w:rsid w:val="00EE66C9"/>
    <w:rsid w:val="00EF4BED"/>
    <w:rsid w:val="00F33A38"/>
    <w:rsid w:val="00F35B75"/>
    <w:rsid w:val="00F40FDB"/>
    <w:rsid w:val="00F452D9"/>
    <w:rsid w:val="00F61D63"/>
    <w:rsid w:val="00F96079"/>
    <w:rsid w:val="00FC07A0"/>
    <w:rsid w:val="00FD009B"/>
    <w:rsid w:val="00FE7DAB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46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82BD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9C3E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2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13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5DBE"/>
    <w:pPr>
      <w:spacing w:after="0" w:line="240" w:lineRule="auto"/>
    </w:pPr>
    <w:rPr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DBE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075DB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25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36A"/>
  </w:style>
  <w:style w:type="paragraph" w:styleId="Piedepgina">
    <w:name w:val="footer"/>
    <w:basedOn w:val="Normal"/>
    <w:link w:val="PiedepginaCar"/>
    <w:uiPriority w:val="99"/>
    <w:unhideWhenUsed/>
    <w:rsid w:val="00E25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36A"/>
  </w:style>
  <w:style w:type="character" w:styleId="Refdecomentario">
    <w:name w:val="annotation reference"/>
    <w:basedOn w:val="Fuentedeprrafopredeter"/>
    <w:uiPriority w:val="99"/>
    <w:semiHidden/>
    <w:unhideWhenUsed/>
    <w:rsid w:val="00457F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7F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7F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7F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7F71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944F9D"/>
    <w:rPr>
      <w:color w:val="808080"/>
    </w:rPr>
  </w:style>
  <w:style w:type="character" w:customStyle="1" w:styleId="PrrafodelistaCar">
    <w:name w:val="Párrafo de lista Car"/>
    <w:link w:val="Prrafodelista"/>
    <w:uiPriority w:val="34"/>
    <w:locked/>
    <w:rsid w:val="00944F9D"/>
  </w:style>
  <w:style w:type="table" w:styleId="Tablaconcuadrcula">
    <w:name w:val="Table Grid"/>
    <w:basedOn w:val="Tablanormal"/>
    <w:uiPriority w:val="39"/>
    <w:rsid w:val="00944F9D"/>
    <w:pPr>
      <w:spacing w:after="0" w:line="240" w:lineRule="auto"/>
    </w:pPr>
    <w:rPr>
      <w:rFonts w:ascii="Calibri" w:eastAsia="Calibri" w:hAnsi="Calibri" w:cs="Arial"/>
      <w:sz w:val="20"/>
      <w:szCs w:val="20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F96079"/>
  </w:style>
  <w:style w:type="paragraph" w:styleId="Revisin">
    <w:name w:val="Revision"/>
    <w:hidden/>
    <w:uiPriority w:val="99"/>
    <w:semiHidden/>
    <w:rsid w:val="001F0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6392-5EE2-46B6-A511-11459C97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Castañeda Veliz, Carlos Celso</dc:creator>
  <cp:lastModifiedBy>PAULO DANIEL MENDOZA BARRANTES</cp:lastModifiedBy>
  <cp:revision>4</cp:revision>
  <cp:lastPrinted>2019-02-18T22:37:00Z</cp:lastPrinted>
  <dcterms:created xsi:type="dcterms:W3CDTF">2019-02-15T17:38:00Z</dcterms:created>
  <dcterms:modified xsi:type="dcterms:W3CDTF">2019-02-22T20:39:00Z</dcterms:modified>
</cp:coreProperties>
</file>