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1B45" w14:textId="59499274" w:rsidR="003F22F9" w:rsidRDefault="00D23380" w:rsidP="001D6DC8">
      <w:pPr>
        <w:tabs>
          <w:tab w:val="left" w:pos="1980"/>
        </w:tabs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1D6DC8">
        <w:rPr>
          <w:rFonts w:ascii="Arial" w:hAnsi="Arial"/>
          <w:b/>
          <w:sz w:val="28"/>
          <w:szCs w:val="20"/>
        </w:rPr>
        <w:t>INDICADOR 4</w:t>
      </w:r>
      <w:r w:rsidR="009F40D6" w:rsidRPr="001D6DC8">
        <w:rPr>
          <w:rFonts w:ascii="Arial" w:hAnsi="Arial"/>
          <w:b/>
          <w:sz w:val="28"/>
          <w:szCs w:val="20"/>
        </w:rPr>
        <w:t>:</w:t>
      </w:r>
      <w:r w:rsidR="009F40D6" w:rsidRPr="001D6DC8">
        <w:rPr>
          <w:rFonts w:ascii="Arial" w:hAnsi="Arial"/>
          <w:b/>
          <w:sz w:val="20"/>
          <w:szCs w:val="20"/>
        </w:rPr>
        <w:t xml:space="preserve"> </w:t>
      </w:r>
      <w:r w:rsidR="002402A8" w:rsidRPr="002402A8">
        <w:rPr>
          <w:rFonts w:ascii="Arial" w:hAnsi="Arial"/>
          <w:bCs/>
          <w:sz w:val="20"/>
          <w:szCs w:val="20"/>
        </w:rPr>
        <w:t>Porcentaje de personas no matriculadas en el nivel primaria respecto a la demanda potencial</w:t>
      </w:r>
    </w:p>
    <w:p w14:paraId="76845ACF" w14:textId="77777777" w:rsidR="002402A8" w:rsidRDefault="002402A8" w:rsidP="001D6DC8">
      <w:pPr>
        <w:tabs>
          <w:tab w:val="left" w:pos="198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8903" w:type="dxa"/>
        <w:tblInd w:w="-431" w:type="dxa"/>
        <w:tblLook w:val="04A0" w:firstRow="1" w:lastRow="0" w:firstColumn="1" w:lastColumn="0" w:noHBand="0" w:noVBand="1"/>
      </w:tblPr>
      <w:tblGrid>
        <w:gridCol w:w="4012"/>
        <w:gridCol w:w="4891"/>
      </w:tblGrid>
      <w:tr w:rsidR="003F22F9" w:rsidRPr="003F22F9" w14:paraId="7EDE7D67" w14:textId="77777777" w:rsidTr="003F22F9">
        <w:trPr>
          <w:trHeight w:val="277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D62" w14:textId="77777777" w:rsidR="003F22F9" w:rsidRPr="00B409FB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B409FB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Nombre de la entidad pública: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1F53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Ministerio de Educación</w:t>
            </w:r>
          </w:p>
        </w:tc>
      </w:tr>
      <w:tr w:rsidR="003F22F9" w:rsidRPr="003F22F9" w14:paraId="1E0B0221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8D9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Fecha de elaboración: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D32" w14:textId="7A93C6F8" w:rsidR="003F22F9" w:rsidRPr="003F22F9" w:rsidRDefault="002402A8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15.02.09</w:t>
            </w:r>
          </w:p>
        </w:tc>
      </w:tr>
      <w:tr w:rsidR="003F22F9" w:rsidRPr="003F22F9" w14:paraId="1678BBAA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319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Sector: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805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Educación</w:t>
            </w:r>
          </w:p>
        </w:tc>
      </w:tr>
      <w:tr w:rsidR="003F22F9" w:rsidRPr="003F22F9" w14:paraId="137333AA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60D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Función: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8A86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22 Educación</w:t>
            </w:r>
          </w:p>
        </w:tc>
      </w:tr>
      <w:tr w:rsidR="003F22F9" w:rsidRPr="003F22F9" w14:paraId="00C2654D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356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División funcional: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506" w14:textId="1EAFE5F8" w:rsidR="003F22F9" w:rsidRPr="003F22F9" w:rsidRDefault="006F4547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047 Educación B</w:t>
            </w:r>
            <w:r w:rsidR="003F22F9"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 xml:space="preserve">ásica </w:t>
            </w:r>
          </w:p>
        </w:tc>
      </w:tr>
      <w:tr w:rsidR="003F22F9" w:rsidRPr="003F22F9" w14:paraId="1F51E2DC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E57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Grupo funcional: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AC2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 xml:space="preserve">0104 Educación Primaria </w:t>
            </w:r>
          </w:p>
        </w:tc>
      </w:tr>
      <w:tr w:rsidR="003F22F9" w:rsidRPr="003F22F9" w14:paraId="31468DE0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61C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Servicio público asociado: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5E3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Servicio de Educación Primaria</w:t>
            </w:r>
          </w:p>
        </w:tc>
      </w:tr>
      <w:tr w:rsidR="003F22F9" w:rsidRPr="003F22F9" w14:paraId="68B294E4" w14:textId="77777777" w:rsidTr="003F22F9">
        <w:trPr>
          <w:trHeight w:val="277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051" w14:textId="77777777" w:rsidR="003F22F9" w:rsidRPr="003F22F9" w:rsidRDefault="003F22F9" w:rsidP="003F22F9">
            <w:pPr>
              <w:spacing w:after="0" w:line="240" w:lineRule="auto"/>
              <w:contextualSpacing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3F22F9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Tipología del proyecto: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A60" w14:textId="2ECECD7D" w:rsidR="003F22F9" w:rsidRPr="00B409FB" w:rsidRDefault="00FA5E9D" w:rsidP="00FA5E9D">
            <w:pPr>
              <w:spacing w:after="0" w:line="240" w:lineRule="auto"/>
              <w:contextualSpacing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E</w:t>
            </w:r>
            <w:r w:rsidR="003F22F9" w:rsidRPr="00B409FB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 xml:space="preserve">ducación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P</w:t>
            </w:r>
            <w:r w:rsidR="003F22F9" w:rsidRPr="00B409FB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rimaria</w:t>
            </w:r>
          </w:p>
        </w:tc>
      </w:tr>
    </w:tbl>
    <w:p w14:paraId="21B2D2B3" w14:textId="77777777" w:rsidR="00596CE6" w:rsidRPr="001D6DC8" w:rsidRDefault="00596CE6" w:rsidP="001D6DC8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tbl>
      <w:tblPr>
        <w:tblW w:w="89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5F0C80" w:rsidRPr="005F0C80" w14:paraId="3756926A" w14:textId="77777777" w:rsidTr="001D6DC8">
        <w:tc>
          <w:tcPr>
            <w:tcW w:w="5000" w:type="pct"/>
            <w:shd w:val="clear" w:color="auto" w:fill="auto"/>
          </w:tcPr>
          <w:tbl>
            <w:tblPr>
              <w:tblW w:w="893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30"/>
            </w:tblGrid>
            <w:tr w:rsidR="005F0C80" w:rsidRPr="005F0C80" w14:paraId="01041D31" w14:textId="77777777" w:rsidTr="001D6DC8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9DF30" w14:textId="77777777" w:rsidR="00136088" w:rsidRPr="001D6DC8" w:rsidRDefault="00136088" w:rsidP="001D6DC8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1D6D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PROGR</w:t>
                  </w:r>
                  <w:r w:rsidR="009F40D6" w:rsidRPr="001D6D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AMA PRESUPUESTAL</w:t>
                  </w:r>
                </w:p>
              </w:tc>
            </w:tr>
          </w:tbl>
          <w:p w14:paraId="15E091BB" w14:textId="77777777" w:rsidR="00136088" w:rsidRPr="001D6DC8" w:rsidRDefault="00136088" w:rsidP="006B4FFF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1D6DC8" w14:paraId="2F405ED7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37DDC" w14:textId="20960D82" w:rsidR="001F043D" w:rsidRPr="001D6DC8" w:rsidRDefault="001D6DC8" w:rsidP="00C508AE">
                  <w:pPr>
                    <w:pStyle w:val="Prrafodelista1"/>
                    <w:spacing w:after="160" w:line="240" w:lineRule="auto"/>
                    <w:ind w:left="357" w:hanging="35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D6DC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</w:tr>
          </w:tbl>
          <w:p w14:paraId="5E3F41EF" w14:textId="77777777" w:rsidR="001D6DC8" w:rsidRDefault="001D6DC8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53832E47" w14:textId="23DBBA5E" w:rsidR="00D23A4E" w:rsidRPr="00E122BC" w:rsidRDefault="002402A8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  <w:lang w:val="es-MX"/>
              </w:rPr>
            </w:pPr>
            <w:r w:rsidRPr="002402A8">
              <w:rPr>
                <w:rFonts w:ascii="Arial" w:hAnsi="Arial"/>
                <w:bCs/>
                <w:sz w:val="18"/>
                <w:szCs w:val="18"/>
              </w:rPr>
              <w:t xml:space="preserve">Porcentaje de personas no matriculadas en el nivel primaria respecto a la demanda potencial </w:t>
            </w:r>
            <w:r w:rsidR="00393479" w:rsidRPr="00E122BC">
              <w:rPr>
                <w:rFonts w:ascii="Arial" w:hAnsi="Arial"/>
                <w:bCs/>
                <w:sz w:val="18"/>
                <w:szCs w:val="18"/>
                <w:lang w:val="es-MX"/>
              </w:rPr>
              <w:t>(PNM</w:t>
            </w:r>
            <w:r w:rsidR="00EF6C1D" w:rsidRPr="00E122BC">
              <w:rPr>
                <w:rFonts w:ascii="Arial" w:hAnsi="Arial"/>
                <w:bCs/>
                <w:sz w:val="18"/>
                <w:szCs w:val="18"/>
                <w:lang w:val="es-MX"/>
              </w:rPr>
              <w:t>P</w:t>
            </w:r>
            <w:r w:rsidR="001D6DC8" w:rsidRPr="00E122BC">
              <w:rPr>
                <w:rFonts w:ascii="Arial" w:hAnsi="Arial"/>
                <w:bCs/>
                <w:sz w:val="18"/>
                <w:szCs w:val="18"/>
                <w:lang w:val="es-MX"/>
              </w:rPr>
              <w:t>)</w:t>
            </w:r>
          </w:p>
          <w:p w14:paraId="3BD16962" w14:textId="77777777" w:rsidR="001D6DC8" w:rsidRPr="001D6DC8" w:rsidRDefault="001D6DC8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2E3BC7FD" w14:textId="77777777" w:rsidTr="007E51ED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34144" w14:textId="0B02AA7C" w:rsidR="00136088" w:rsidRPr="001D6DC8" w:rsidRDefault="001D6DC8" w:rsidP="001D6DC8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1D6D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AMBITO DE CONTROL</w:t>
                  </w:r>
                </w:p>
              </w:tc>
            </w:tr>
          </w:tbl>
          <w:p w14:paraId="4673F92B" w14:textId="77777777" w:rsidR="00D23A4E" w:rsidRDefault="00D23A4E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36F34029" w14:textId="457A4DED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  <w:lang w:val="es-MX"/>
              </w:rPr>
            </w:pPr>
            <w:r w:rsidRPr="00E122BC">
              <w:rPr>
                <w:rFonts w:ascii="Arial" w:hAnsi="Arial"/>
                <w:bCs/>
                <w:sz w:val="18"/>
                <w:szCs w:val="18"/>
                <w:lang w:val="es-MX"/>
              </w:rPr>
              <w:t>Resultado específico: Incremento de matriculados en el servicio educativo de Educación Primaria</w:t>
            </w:r>
          </w:p>
          <w:p w14:paraId="2CF12EC6" w14:textId="77777777" w:rsidR="001D6DC8" w:rsidRPr="001D6DC8" w:rsidRDefault="001D6DC8" w:rsidP="001D6DC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07E0C11E" w14:textId="77777777" w:rsidTr="007E51ED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AD2AA" w14:textId="644F1F75" w:rsidR="00136088" w:rsidRPr="005F0C80" w:rsidRDefault="00136088" w:rsidP="001D6DC8">
                  <w:pPr>
                    <w:spacing w:line="240" w:lineRule="auto"/>
                    <w:ind w:left="36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1D6D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PLIEGOS QUE EJECUTAN ACCIONES EN EL MARCO DEL PROGRAMA PRESUPUESTAL</w:t>
                  </w:r>
                </w:p>
              </w:tc>
            </w:tr>
          </w:tbl>
          <w:p w14:paraId="3291C451" w14:textId="77777777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A114F2E" w14:textId="4DF92E09" w:rsidR="00D23A4E" w:rsidRPr="00E122BC" w:rsidRDefault="001D6DC8" w:rsidP="006B4FFF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 xml:space="preserve">Gobierno Nacional, Gobiernos Regionales y </w:t>
            </w:r>
            <w:r w:rsidR="00E234F9">
              <w:rPr>
                <w:rFonts w:ascii="Arial" w:hAnsi="Arial"/>
                <w:sz w:val="18"/>
                <w:szCs w:val="18"/>
              </w:rPr>
              <w:t xml:space="preserve">Gobiernos </w:t>
            </w:r>
            <w:r w:rsidRPr="00E122BC">
              <w:rPr>
                <w:rFonts w:ascii="Arial" w:hAnsi="Arial"/>
                <w:sz w:val="18"/>
                <w:szCs w:val="18"/>
              </w:rPr>
              <w:t>Locales</w:t>
            </w:r>
          </w:p>
          <w:p w14:paraId="0DF6ACF1" w14:textId="77777777" w:rsidR="001D6DC8" w:rsidRPr="001D6DC8" w:rsidRDefault="001D6DC8" w:rsidP="006B4FF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0B8C4C84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757B4" w14:textId="77777777" w:rsidR="00136088" w:rsidRPr="005F0C80" w:rsidRDefault="00136088" w:rsidP="001D6DC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1D6D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DEFINICIÓN</w:t>
                  </w:r>
                </w:p>
              </w:tc>
            </w:tr>
          </w:tbl>
          <w:p w14:paraId="054F4854" w14:textId="77777777" w:rsidR="001D6DC8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14C067B5" w14:textId="21A223E8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 xml:space="preserve">El indicador representa la demanda potencial no atendida con el </w:t>
            </w:r>
            <w:r w:rsidR="001129F9" w:rsidRPr="00E122BC">
              <w:rPr>
                <w:rFonts w:ascii="Arial" w:hAnsi="Arial"/>
                <w:sz w:val="18"/>
                <w:szCs w:val="18"/>
              </w:rPr>
              <w:t>servicio de Educación Primaria</w:t>
            </w:r>
            <w:r w:rsidRPr="00E122BC">
              <w:rPr>
                <w:rFonts w:ascii="Arial" w:hAnsi="Arial"/>
                <w:sz w:val="18"/>
                <w:szCs w:val="18"/>
              </w:rPr>
              <w:t>.</w:t>
            </w:r>
          </w:p>
          <w:p w14:paraId="345744F9" w14:textId="77777777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2FDE378" w14:textId="5B390DA8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La demanda potencial no atendida hace mención al grupo de la población de referencia con necesidades d</w:t>
            </w:r>
            <w:r w:rsidR="001129F9" w:rsidRPr="00E122BC">
              <w:rPr>
                <w:rFonts w:ascii="Arial" w:hAnsi="Arial"/>
                <w:sz w:val="18"/>
                <w:szCs w:val="18"/>
              </w:rPr>
              <w:t>el servicio de Educación Primaria</w:t>
            </w:r>
            <w:r w:rsidRPr="00E122BC">
              <w:rPr>
                <w:rFonts w:ascii="Arial" w:hAnsi="Arial"/>
                <w:sz w:val="18"/>
                <w:szCs w:val="18"/>
              </w:rPr>
              <w:t>, que en la actualidad no fueron provistas por el estado.</w:t>
            </w:r>
          </w:p>
          <w:p w14:paraId="310C325C" w14:textId="77777777" w:rsidR="001D6DC8" w:rsidRPr="00E122BC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10CDB2A" w14:textId="091813C4" w:rsidR="001129F9" w:rsidRDefault="001129F9" w:rsidP="001129F9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La Educación Primaria</w:t>
            </w:r>
            <w:r w:rsidR="001D6DC8" w:rsidRPr="00E122BC">
              <w:rPr>
                <w:rFonts w:ascii="Arial" w:hAnsi="Arial"/>
                <w:sz w:val="18"/>
                <w:szCs w:val="18"/>
              </w:rPr>
              <w:t xml:space="preserve"> constituye </w:t>
            </w:r>
            <w:r w:rsidRPr="00E122BC">
              <w:rPr>
                <w:rFonts w:ascii="Arial" w:hAnsi="Arial"/>
                <w:sz w:val="18"/>
                <w:szCs w:val="18"/>
              </w:rPr>
              <w:t xml:space="preserve">el segundo nivel de la Educación Básica Regular y atiende a niños y niñas a partir de los 6 años de edad. </w:t>
            </w:r>
            <w:r w:rsidR="00A614FA" w:rsidRPr="00E122BC">
              <w:rPr>
                <w:rFonts w:ascii="Arial" w:hAnsi="Arial"/>
                <w:sz w:val="18"/>
                <w:szCs w:val="18"/>
              </w:rPr>
              <w:t>S</w:t>
            </w:r>
            <w:r w:rsidRPr="00E122BC">
              <w:rPr>
                <w:rFonts w:ascii="Arial" w:hAnsi="Arial"/>
                <w:sz w:val="18"/>
                <w:szCs w:val="18"/>
              </w:rPr>
              <w:t>on objetivos de la Educación Primaria:</w:t>
            </w:r>
          </w:p>
          <w:p w14:paraId="49119F36" w14:textId="77777777" w:rsidR="00E122BC" w:rsidRPr="00E122BC" w:rsidRDefault="00E122BC" w:rsidP="001129F9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0FC77AB" w14:textId="77777777" w:rsidR="001129F9" w:rsidRPr="00E122BC" w:rsidRDefault="001129F9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Reconocer al niño y niña como persona, sujeto de derechos y responsabilidades, aceptando sus diferencias y con múltiples posibilidades de participar y aportar con protagonismo creciente en los procesos sociales de la escuela y la comunidad.</w:t>
            </w:r>
          </w:p>
          <w:p w14:paraId="1E08BBF7" w14:textId="77777777" w:rsidR="001129F9" w:rsidRPr="00E122BC" w:rsidRDefault="001129F9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Valorar la diversidad y la experiencia sociocultural, afectiva y espiritual del niño, y enriquecerla con el conocimiento de la cultura universal y la realidad multiétnica, plurilingüe y multicultural del país.</w:t>
            </w:r>
          </w:p>
          <w:p w14:paraId="24946C18" w14:textId="77777777" w:rsidR="001129F9" w:rsidRPr="00E122BC" w:rsidRDefault="001129F9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Implementar estrategias para el desarrollo del pensamiento lógico y matemático, pensamiento divergente, la comunicación, la sensibilidad y expresión artística y la psicomotricidad del niño, así como para el logro de aprendizajes sobre ciencia, humanidades y tecnologías. Incluye la capacidad de resolución de problemas y de negociación, el sentido de eficacia, eficiencia y afán de logro, así como el fortalecimiento del aprendizaje autónomo, facilitado por medios tecnológicos.</w:t>
            </w:r>
          </w:p>
          <w:p w14:paraId="3CFB1049" w14:textId="77777777" w:rsidR="001129F9" w:rsidRPr="00E122BC" w:rsidRDefault="001129F9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Fortalecer la autonomía del niño, el significado de la convivencia con otros, el respeto a las diferencias y la comprensión y valoración de su ambiente familiar, cultural, social y natural, así como el sentido de pertenencia.</w:t>
            </w:r>
          </w:p>
          <w:p w14:paraId="3BF4BD01" w14:textId="06AC9844" w:rsidR="001D6DC8" w:rsidRPr="00E122BC" w:rsidRDefault="001129F9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Implementar estrategias de atención diversificada en función de los ritmos y niveles de aprendizaje, la pluralidad lingüística y cultural, que enriquezcan el proceso educativo, fortaleciendo relaciones de cooperación y corresponsabilidad entre escuela, familia y comunidad para mejorar la educación y la calidad de vida de los estudiantes.</w:t>
            </w:r>
          </w:p>
          <w:p w14:paraId="0E6B4D2E" w14:textId="77777777" w:rsidR="00E122BC" w:rsidRPr="00F61339" w:rsidRDefault="00E122BC" w:rsidP="00F61339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48DA99E9" w14:textId="77777777" w:rsidR="001D6DC8" w:rsidRPr="001D6DC8" w:rsidRDefault="001D6DC8" w:rsidP="001D6DC8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18857F83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78567" w14:textId="77777777" w:rsidR="00136088" w:rsidRPr="005F0C80" w:rsidRDefault="00136088" w:rsidP="001129F9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1129F9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lastRenderedPageBreak/>
                    <w:t>DIMENSIÓN DE DESEMPEÑO</w:t>
                  </w:r>
                </w:p>
              </w:tc>
            </w:tr>
          </w:tbl>
          <w:p w14:paraId="52A9B9BA" w14:textId="7914CDBA" w:rsidR="00C24E42" w:rsidRDefault="00C24E42" w:rsidP="001129F9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  <w:lang w:val="es-MX"/>
              </w:rPr>
            </w:pPr>
          </w:p>
          <w:p w14:paraId="64C424C0" w14:textId="1BA8CD31" w:rsidR="001129F9" w:rsidRPr="00E122BC" w:rsidRDefault="001129F9" w:rsidP="001129F9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E122BC">
              <w:rPr>
                <w:rFonts w:ascii="Arial" w:hAnsi="Arial"/>
                <w:sz w:val="18"/>
                <w:szCs w:val="18"/>
                <w:lang w:val="es-MX"/>
              </w:rPr>
              <w:t>El indicador es de brecha de cobertura y, puesto que mide la cobertura del servicio de Educación Primaria, es un indicador de eficacia.</w:t>
            </w:r>
          </w:p>
          <w:p w14:paraId="53C2CE90" w14:textId="77777777" w:rsidR="001129F9" w:rsidRPr="001129F9" w:rsidRDefault="001129F9" w:rsidP="001129F9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416B75D9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F680" w14:textId="77777777" w:rsidR="00136088" w:rsidRPr="005F0C80" w:rsidRDefault="00136088" w:rsidP="001129F9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5F0C80">
                    <w:rPr>
                      <w:rFonts w:ascii="Arial" w:hAnsi="Arial"/>
                      <w:sz w:val="18"/>
                      <w:szCs w:val="18"/>
                    </w:rPr>
                    <w:br w:type="page"/>
                  </w:r>
                  <w:r w:rsidRPr="001129F9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 xml:space="preserve">VALOR DEL INDICADOR </w:t>
                  </w:r>
                </w:p>
              </w:tc>
            </w:tr>
          </w:tbl>
          <w:p w14:paraId="5294EE82" w14:textId="77777777" w:rsidR="00B80789" w:rsidRPr="001129F9" w:rsidRDefault="00B80789" w:rsidP="001129F9">
            <w:pPr>
              <w:spacing w:after="0" w:line="240" w:lineRule="auto"/>
              <w:rPr>
                <w:rFonts w:ascii="Arial" w:hAnsi="Arial"/>
                <w:sz w:val="20"/>
                <w:szCs w:val="18"/>
                <w:lang w:val="es-PE"/>
              </w:rPr>
            </w:pPr>
          </w:p>
          <w:p w14:paraId="05594CE7" w14:textId="4DE7F530" w:rsidR="002402A8" w:rsidRDefault="002402A8" w:rsidP="002402A8">
            <w:r>
              <w:rPr>
                <w:rFonts w:ascii="Arial" w:hAnsi="Arial"/>
                <w:sz w:val="20"/>
                <w:szCs w:val="20"/>
                <w:lang w:val="es-MX"/>
              </w:rPr>
              <w:t>De acuerdo al método del cálculo y las bases de datos actualizadas.</w:t>
            </w:r>
          </w:p>
          <w:p w14:paraId="35DE8CA2" w14:textId="77777777" w:rsidR="00CF231A" w:rsidRPr="001129F9" w:rsidRDefault="00CF231A" w:rsidP="001129F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071188C3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5F9EB" w14:textId="77777777" w:rsidR="00136088" w:rsidRPr="005F0C80" w:rsidRDefault="00136088" w:rsidP="002F3F8E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2F3F8E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JUSTIFICACIÓN</w:t>
                  </w:r>
                </w:p>
              </w:tc>
            </w:tr>
          </w:tbl>
          <w:p w14:paraId="46B852E4" w14:textId="77777777" w:rsidR="00136088" w:rsidRPr="002F3F8E" w:rsidRDefault="00136088" w:rsidP="002F3F8E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4103B18D" w14:textId="05212B24" w:rsidR="00724AE6" w:rsidRPr="00E122BC" w:rsidRDefault="00724AE6" w:rsidP="002F3F8E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 xml:space="preserve">Este indicador permite medir directamente la brecha de acceso a la educación </w:t>
            </w:r>
            <w:r w:rsidR="00EF0FBC" w:rsidRPr="00E122BC">
              <w:rPr>
                <w:rFonts w:ascii="Arial" w:hAnsi="Arial"/>
                <w:sz w:val="18"/>
                <w:szCs w:val="18"/>
              </w:rPr>
              <w:t>primaria</w:t>
            </w:r>
            <w:r w:rsidRPr="00E122BC">
              <w:rPr>
                <w:rFonts w:ascii="Arial" w:hAnsi="Arial"/>
                <w:sz w:val="18"/>
                <w:szCs w:val="18"/>
              </w:rPr>
              <w:t>, y consiguientemente el cierre de esta brecha está vinculado directamente con la ejecución de proyectos de inversión.</w:t>
            </w:r>
          </w:p>
          <w:p w14:paraId="4E1ED828" w14:textId="77777777" w:rsidR="002F3F8E" w:rsidRPr="002F3F8E" w:rsidRDefault="002F3F8E" w:rsidP="002F3F8E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536DBFD1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F3554" w14:textId="77777777" w:rsidR="00136088" w:rsidRPr="005F0C80" w:rsidRDefault="00136088" w:rsidP="002F3F8E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2F3F8E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LIMITACIONES Y SUPUESTOS EMPLEADOS</w:t>
                  </w:r>
                </w:p>
              </w:tc>
            </w:tr>
          </w:tbl>
          <w:p w14:paraId="346488C6" w14:textId="77777777" w:rsidR="00071859" w:rsidRDefault="00071859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6990AF13" w14:textId="6E996DC0" w:rsidR="002F3F8E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Supuestos:</w:t>
            </w:r>
          </w:p>
          <w:p w14:paraId="33BA32B8" w14:textId="77777777" w:rsidR="00E122BC" w:rsidRPr="00E122BC" w:rsidRDefault="00E122BC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DAED6C7" w14:textId="26E0FB51" w:rsidR="002F3F8E" w:rsidRPr="00E122BC" w:rsidRDefault="002F3F8E" w:rsidP="00B409F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Se considera a un niño matriculado en el nivel primaria cuando está en un Institución Educativa de dicho nivel.</w:t>
            </w:r>
          </w:p>
          <w:p w14:paraId="5F296251" w14:textId="7E6F1D8E" w:rsidR="0056380B" w:rsidRDefault="0056380B" w:rsidP="00B409F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Solo se considera a los niños de 6 a 11 años para la demanda potencial del servicio de Educación Primaria.</w:t>
            </w:r>
          </w:p>
          <w:p w14:paraId="14B351D3" w14:textId="0577E254" w:rsidR="00107AB3" w:rsidRPr="00107AB3" w:rsidRDefault="00107AB3" w:rsidP="00107AB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07AB3">
              <w:rPr>
                <w:rFonts w:ascii="Arial" w:hAnsi="Arial"/>
                <w:sz w:val="18"/>
                <w:szCs w:val="18"/>
              </w:rPr>
              <w:t>No existen personas de 6 a 11 años de edad que estén matriculadas en otro niveles educativos</w:t>
            </w:r>
          </w:p>
          <w:p w14:paraId="7690D8EF" w14:textId="77777777" w:rsidR="002F3F8E" w:rsidRPr="00E122BC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590E955" w14:textId="235406AC" w:rsidR="002F3F8E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>Limitaciones:</w:t>
            </w:r>
          </w:p>
          <w:p w14:paraId="1AB52E34" w14:textId="77777777" w:rsidR="00E122BC" w:rsidRPr="00E122BC" w:rsidRDefault="00E122BC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3EAE54" w14:textId="3FE80A98" w:rsidR="002F3F8E" w:rsidRDefault="002F3F8E" w:rsidP="00B409F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El indicador solo pude ser calculado a nivel regional y nacional, debido a que la base de datos de la ENAHO solo es representativa a nivel regional, nacional, y no a nivel distrital, lo que genera que no se pueda hacer inferencias a este nivel.</w:t>
            </w:r>
          </w:p>
          <w:p w14:paraId="457CA26C" w14:textId="77777777" w:rsidR="00E122BC" w:rsidRDefault="00E122BC" w:rsidP="00E122BC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</w:p>
          <w:p w14:paraId="5D51625D" w14:textId="77777777" w:rsidR="002F3F8E" w:rsidRPr="002F3F8E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62FC2D07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F27F1" w14:textId="77777777" w:rsidR="00136088" w:rsidRPr="005F0C80" w:rsidRDefault="00136088" w:rsidP="002F3F8E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2F3F8E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PRECISIONES TÉCNICAS</w:t>
                  </w:r>
                </w:p>
              </w:tc>
            </w:tr>
          </w:tbl>
          <w:p w14:paraId="6D2F95E0" w14:textId="77777777" w:rsidR="002F3F8E" w:rsidRPr="002F3F8E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7ADA1DDC" w14:textId="3C4DB816" w:rsidR="00E42F45" w:rsidRDefault="002F3F8E" w:rsidP="00B409F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Solo se consideran a las personas de la ENAHO que fueron encuestadas ent</w:t>
            </w:r>
            <w:r w:rsidR="00E122BC">
              <w:rPr>
                <w:rFonts w:ascii="Arial" w:hAnsi="Arial"/>
                <w:sz w:val="18"/>
                <w:szCs w:val="20"/>
              </w:rPr>
              <w:t xml:space="preserve">re abril y diciembre ya que </w:t>
            </w:r>
            <w:r w:rsidRPr="00E122BC">
              <w:rPr>
                <w:rFonts w:ascii="Arial" w:hAnsi="Arial"/>
                <w:sz w:val="18"/>
                <w:szCs w:val="20"/>
              </w:rPr>
              <w:t xml:space="preserve">en estos meses se desarrolla el servicio pedagógico regular, de esta manera se garantiza </w:t>
            </w:r>
            <w:r w:rsidR="000567BB" w:rsidRPr="00E122BC">
              <w:rPr>
                <w:rFonts w:ascii="Arial" w:hAnsi="Arial"/>
                <w:sz w:val="18"/>
                <w:szCs w:val="20"/>
              </w:rPr>
              <w:t>que,</w:t>
            </w:r>
            <w:r w:rsidRPr="00E122BC">
              <w:rPr>
                <w:rFonts w:ascii="Arial" w:hAnsi="Arial"/>
                <w:sz w:val="18"/>
                <w:szCs w:val="20"/>
              </w:rPr>
              <w:t xml:space="preserve"> si una persona en e</w:t>
            </w:r>
            <w:r w:rsidR="00E122BC">
              <w:rPr>
                <w:rFonts w:ascii="Arial" w:hAnsi="Arial"/>
                <w:sz w:val="18"/>
                <w:szCs w:val="20"/>
              </w:rPr>
              <w:t>dad de estudio del</w:t>
            </w:r>
            <w:r w:rsidR="00C608A1" w:rsidRPr="00E122BC">
              <w:rPr>
                <w:rFonts w:ascii="Arial" w:hAnsi="Arial"/>
                <w:sz w:val="18"/>
                <w:szCs w:val="20"/>
              </w:rPr>
              <w:t xml:space="preserve"> nivel primaria</w:t>
            </w:r>
            <w:r w:rsidRPr="00E122BC">
              <w:rPr>
                <w:rFonts w:ascii="Arial" w:hAnsi="Arial"/>
                <w:sz w:val="18"/>
                <w:szCs w:val="20"/>
              </w:rPr>
              <w:t xml:space="preserve"> no está matriculada en un colegio, no es debido a las vacaciones escolares.</w:t>
            </w:r>
          </w:p>
          <w:p w14:paraId="710AC02A" w14:textId="6A2C9845" w:rsidR="00B409FB" w:rsidRPr="00E122BC" w:rsidRDefault="00B409FB" w:rsidP="00B409F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B409FB">
              <w:rPr>
                <w:rFonts w:ascii="Arial" w:hAnsi="Arial"/>
                <w:sz w:val="18"/>
                <w:szCs w:val="20"/>
              </w:rPr>
              <w:t>Se considera como año de línea base el año 20</w:t>
            </w:r>
            <w:r>
              <w:rPr>
                <w:rFonts w:ascii="Arial" w:hAnsi="Arial"/>
                <w:sz w:val="18"/>
                <w:szCs w:val="20"/>
              </w:rPr>
              <w:t>15</w:t>
            </w:r>
            <w:r w:rsidRPr="00B409FB">
              <w:rPr>
                <w:rFonts w:ascii="Arial" w:hAnsi="Arial"/>
                <w:sz w:val="18"/>
                <w:szCs w:val="20"/>
              </w:rPr>
              <w:t>, debido a que son las fuentes de información más actualizadas.</w:t>
            </w:r>
          </w:p>
          <w:p w14:paraId="59A8E687" w14:textId="77777777" w:rsidR="002F3F8E" w:rsidRPr="002F3F8E" w:rsidRDefault="002F3F8E" w:rsidP="002F3F8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6380B" w14:paraId="6DBCF4AE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8846C" w14:textId="77777777" w:rsidR="00136088" w:rsidRPr="0056380B" w:rsidRDefault="00136088" w:rsidP="0056380B">
                  <w:pPr>
                    <w:keepNext/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56380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MÉTODO DE C</w:t>
                  </w:r>
                  <w:r w:rsidR="00D72BBB" w:rsidRPr="0056380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Á</w:t>
                  </w:r>
                  <w:r w:rsidRPr="0056380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LCULO</w:t>
                  </w:r>
                </w:p>
              </w:tc>
            </w:tr>
          </w:tbl>
          <w:p w14:paraId="0503A210" w14:textId="77777777" w:rsidR="00341A2E" w:rsidRPr="0056380B" w:rsidRDefault="00341A2E" w:rsidP="0056380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776CF42F" w14:textId="77777777" w:rsidR="00724AE6" w:rsidRPr="0056380B" w:rsidRDefault="00724AE6" w:rsidP="0056380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Para efectos de cálculo el indicador, esta será medida de la siguiente forma:</w:t>
            </w:r>
          </w:p>
          <w:p w14:paraId="29E0AE01" w14:textId="77777777" w:rsidR="00724AE6" w:rsidRPr="0056380B" w:rsidRDefault="00724AE6" w:rsidP="0056380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2B802AD1" w14:textId="30968DD5" w:rsidR="00341A2E" w:rsidRPr="0056380B" w:rsidRDefault="00BC05FB" w:rsidP="0056380B">
            <w:pPr>
              <w:spacing w:after="0" w:line="240" w:lineRule="auto"/>
              <w:jc w:val="both"/>
              <w:rPr>
                <w:rFonts w:ascii="Arial" w:hAnsi="Arial"/>
                <w:i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0"/>
                      </w:rPr>
                      <m:t>PNMP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MP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DP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0"/>
                  </w:rPr>
                  <m:t>100%</m:t>
                </m:r>
              </m:oMath>
            </m:oMathPara>
          </w:p>
          <w:p w14:paraId="61CB82C6" w14:textId="77777777" w:rsidR="00315A35" w:rsidRPr="00E122BC" w:rsidRDefault="00315A35" w:rsidP="0056380B">
            <w:p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</w:p>
          <w:p w14:paraId="6EF74E38" w14:textId="77777777" w:rsidR="00724AE6" w:rsidRPr="00E122BC" w:rsidRDefault="00BC05FB" w:rsidP="0056380B">
            <w:p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PNMP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20"/>
                </w:rPr>
                <m:t>=</m:t>
              </m:r>
            </m:oMath>
            <w:r w:rsidR="00724AE6" w:rsidRPr="00E122BC">
              <w:rPr>
                <w:rFonts w:ascii="Arial" w:hAnsi="Arial"/>
                <w:sz w:val="18"/>
                <w:szCs w:val="20"/>
              </w:rPr>
              <w:t xml:space="preserve"> Porcentaje de personas no matriculadas respecto a la demanda potencial del servicio de Educación </w:t>
            </w:r>
            <w:r w:rsidR="003B57FF" w:rsidRPr="00E122BC">
              <w:rPr>
                <w:rFonts w:ascii="Arial" w:hAnsi="Arial"/>
                <w:sz w:val="18"/>
                <w:szCs w:val="20"/>
              </w:rPr>
              <w:t>Primaria</w:t>
            </w:r>
            <w:r w:rsidR="00724AE6" w:rsidRPr="00E122BC">
              <w:rPr>
                <w:rFonts w:ascii="Arial" w:hAnsi="Arial"/>
                <w:sz w:val="18"/>
                <w:szCs w:val="20"/>
              </w:rPr>
              <w:t xml:space="preserve"> en el tiempo t.</w:t>
            </w:r>
          </w:p>
          <w:p w14:paraId="31256133" w14:textId="77777777" w:rsidR="0056380B" w:rsidRPr="00E122BC" w:rsidRDefault="0056380B" w:rsidP="0056380B">
            <w:p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</w:p>
          <w:p w14:paraId="2080A053" w14:textId="77777777" w:rsidR="00724AE6" w:rsidRPr="00E122BC" w:rsidRDefault="00BC05FB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MP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20"/>
                </w:rPr>
                <m:t>=</m:t>
              </m:r>
            </m:oMath>
            <w:r w:rsidR="00724AE6" w:rsidRPr="00E122BC">
              <w:rPr>
                <w:rFonts w:ascii="Arial" w:eastAsiaTheme="minorEastAsia" w:hAnsi="Arial"/>
                <w:sz w:val="18"/>
                <w:szCs w:val="20"/>
              </w:rPr>
              <w:t xml:space="preserve"> Número de personas matriculadas en el servicio de Educación </w:t>
            </w:r>
            <w:r w:rsidR="003B57FF" w:rsidRPr="00E122BC">
              <w:rPr>
                <w:rFonts w:ascii="Arial" w:eastAsiaTheme="minorEastAsia" w:hAnsi="Arial"/>
                <w:sz w:val="18"/>
                <w:szCs w:val="20"/>
              </w:rPr>
              <w:t>Primaria</w:t>
            </w:r>
            <w:r w:rsidR="00724AE6" w:rsidRPr="00E122BC">
              <w:rPr>
                <w:rFonts w:ascii="Arial" w:eastAsiaTheme="minorEastAsia" w:hAnsi="Arial"/>
                <w:sz w:val="18"/>
                <w:szCs w:val="20"/>
              </w:rPr>
              <w:t xml:space="preserve"> en el tiempo t.</w:t>
            </w:r>
          </w:p>
          <w:p w14:paraId="020EB347" w14:textId="77777777" w:rsidR="0056380B" w:rsidRPr="00E122BC" w:rsidRDefault="0056380B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18"/>
                <w:szCs w:val="20"/>
              </w:rPr>
            </w:pPr>
          </w:p>
          <w:p w14:paraId="4ED5E623" w14:textId="37B2CF67" w:rsidR="00724AE6" w:rsidRPr="00E122BC" w:rsidRDefault="00BC05FB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DP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18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20"/>
                </w:rPr>
                <m:t>=</m:t>
              </m:r>
            </m:oMath>
            <w:r w:rsidR="00724AE6" w:rsidRPr="00E122BC">
              <w:rPr>
                <w:rFonts w:ascii="Arial" w:eastAsiaTheme="minorEastAsia" w:hAnsi="Arial"/>
                <w:sz w:val="18"/>
                <w:szCs w:val="20"/>
              </w:rPr>
              <w:t xml:space="preserve"> Demanda potencial (expresado en número de personas) del servicio de Educación </w:t>
            </w:r>
            <w:r w:rsidR="003B57FF" w:rsidRPr="00E122BC">
              <w:rPr>
                <w:rFonts w:ascii="Arial" w:eastAsiaTheme="minorEastAsia" w:hAnsi="Arial"/>
                <w:sz w:val="18"/>
                <w:szCs w:val="20"/>
              </w:rPr>
              <w:t>Primaria</w:t>
            </w:r>
            <w:r w:rsidR="00724AE6" w:rsidRPr="00E122BC">
              <w:rPr>
                <w:rFonts w:ascii="Arial" w:eastAsiaTheme="minorEastAsia" w:hAnsi="Arial"/>
                <w:sz w:val="18"/>
                <w:szCs w:val="20"/>
              </w:rPr>
              <w:t xml:space="preserve"> en el tiempo t.</w:t>
            </w:r>
          </w:p>
          <w:p w14:paraId="090064CB" w14:textId="77777777" w:rsidR="0056380B" w:rsidRDefault="0056380B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56B5FFEA" w14:textId="77777777" w:rsidR="002402A8" w:rsidRDefault="002402A8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1F2786CE" w14:textId="77777777" w:rsidR="002402A8" w:rsidRPr="0056380B" w:rsidRDefault="002402A8" w:rsidP="0056380B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0C9C94E6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AB131" w14:textId="77777777" w:rsidR="00136088" w:rsidRPr="005F0C80" w:rsidRDefault="00136088" w:rsidP="0056380B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56380B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lastRenderedPageBreak/>
                    <w:t>PERIODICIDAD DE LAS MEDICIONES</w:t>
                  </w:r>
                </w:p>
              </w:tc>
            </w:tr>
          </w:tbl>
          <w:p w14:paraId="5764D665" w14:textId="77777777" w:rsidR="00315A35" w:rsidRPr="0056380B" w:rsidRDefault="00315A35" w:rsidP="0056380B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6E08E4D6" w14:textId="77777777" w:rsidR="00136088" w:rsidRDefault="00B046E0" w:rsidP="0056380B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18"/>
              </w:rPr>
            </w:pPr>
            <w:r w:rsidRPr="00E122BC">
              <w:rPr>
                <w:rFonts w:ascii="Arial" w:hAnsi="Arial"/>
                <w:sz w:val="18"/>
                <w:szCs w:val="18"/>
              </w:rPr>
              <w:t xml:space="preserve">La periodicidad de </w:t>
            </w:r>
            <w:r w:rsidR="007E3DFD" w:rsidRPr="00E122BC">
              <w:rPr>
                <w:rFonts w:ascii="Arial" w:hAnsi="Arial"/>
                <w:sz w:val="18"/>
                <w:szCs w:val="18"/>
              </w:rPr>
              <w:t>medición de</w:t>
            </w:r>
            <w:r w:rsidR="00341A2E" w:rsidRPr="00E122BC">
              <w:rPr>
                <w:rFonts w:ascii="Arial" w:hAnsi="Arial"/>
                <w:sz w:val="18"/>
                <w:szCs w:val="18"/>
              </w:rPr>
              <w:t xml:space="preserve">l indicador será </w:t>
            </w:r>
            <w:r w:rsidR="00E42F45" w:rsidRPr="00E122BC">
              <w:rPr>
                <w:rFonts w:ascii="Arial" w:hAnsi="Arial"/>
                <w:sz w:val="18"/>
                <w:szCs w:val="18"/>
              </w:rPr>
              <w:t>anual.</w:t>
            </w:r>
          </w:p>
          <w:p w14:paraId="281ED96E" w14:textId="77777777" w:rsidR="0056380B" w:rsidRPr="0056380B" w:rsidRDefault="0056380B" w:rsidP="0056380B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3CE0E12D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FE92A" w14:textId="77777777" w:rsidR="00136088" w:rsidRPr="005F0C80" w:rsidRDefault="00136088" w:rsidP="0056380B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5F0C80">
                    <w:rPr>
                      <w:rFonts w:ascii="Arial" w:hAnsi="Arial"/>
                      <w:sz w:val="18"/>
                      <w:szCs w:val="18"/>
                    </w:rPr>
                    <w:br w:type="page"/>
                  </w:r>
                  <w:r w:rsidRPr="0056380B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FUENTE DE DATOS</w:t>
                  </w:r>
                </w:p>
              </w:tc>
            </w:tr>
          </w:tbl>
          <w:p w14:paraId="5AE0348A" w14:textId="77777777" w:rsidR="00E42F45" w:rsidRDefault="00E42F45" w:rsidP="0042466B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18"/>
                <w:lang w:val="es-MX"/>
              </w:rPr>
            </w:pPr>
          </w:p>
          <w:p w14:paraId="45C7C50F" w14:textId="1B08B6FB" w:rsidR="0042466B" w:rsidRPr="00E122BC" w:rsidRDefault="0042466B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iCs/>
                <w:sz w:val="18"/>
                <w:szCs w:val="18"/>
                <w:lang w:val="es-MX"/>
              </w:rPr>
            </w:pPr>
            <w:r w:rsidRPr="00E122BC">
              <w:rPr>
                <w:rFonts w:ascii="Arial" w:hAnsi="Arial"/>
                <w:iCs/>
                <w:sz w:val="18"/>
                <w:szCs w:val="18"/>
                <w:lang w:val="es-MX"/>
              </w:rPr>
              <w:t>Instituto Nacional de Estadística e Informática (INEI), a través de la Encuesta Nacional de Hogares (ENAHO)</w:t>
            </w:r>
          </w:p>
          <w:p w14:paraId="308DCB2D" w14:textId="77777777" w:rsidR="0042466B" w:rsidRPr="0042466B" w:rsidRDefault="0042466B" w:rsidP="0042466B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18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1EE7E956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C79C2" w14:textId="77777777" w:rsidR="00136088" w:rsidRPr="005F0C80" w:rsidRDefault="00136088" w:rsidP="0042466B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42466B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BASE DE DATOS</w:t>
                  </w:r>
                </w:p>
              </w:tc>
            </w:tr>
          </w:tbl>
          <w:p w14:paraId="7B646FE0" w14:textId="009EFD5C" w:rsidR="00136088" w:rsidRDefault="00136088" w:rsidP="0042466B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18"/>
                <w:lang w:val="en-US"/>
              </w:rPr>
            </w:pPr>
          </w:p>
          <w:p w14:paraId="42EA6629" w14:textId="6DB43589" w:rsidR="0042466B" w:rsidRPr="00E122BC" w:rsidRDefault="0042466B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iCs/>
                <w:sz w:val="18"/>
                <w:szCs w:val="18"/>
                <w:lang w:val="es-MX"/>
              </w:rPr>
            </w:pPr>
            <w:r w:rsidRPr="00E122BC">
              <w:rPr>
                <w:rFonts w:ascii="Arial" w:hAnsi="Arial"/>
                <w:iCs/>
                <w:sz w:val="18"/>
                <w:szCs w:val="18"/>
                <w:lang w:val="es-MX"/>
              </w:rPr>
              <w:t>Encuesta Nacional de Hogares (ENAHO)</w:t>
            </w:r>
            <w:r w:rsidR="002C4CF4">
              <w:rPr>
                <w:rFonts w:ascii="Arial" w:hAnsi="Arial"/>
                <w:iCs/>
                <w:sz w:val="18"/>
                <w:szCs w:val="18"/>
                <w:lang w:val="es-MX"/>
              </w:rPr>
              <w:t xml:space="preserve"> 2015.</w:t>
            </w:r>
          </w:p>
          <w:p w14:paraId="01841370" w14:textId="77777777" w:rsidR="0042466B" w:rsidRPr="00B409FB" w:rsidRDefault="0042466B" w:rsidP="0042466B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18"/>
                <w:lang w:val="es-P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5F0C80" w14:paraId="3C4B0022" w14:textId="77777777" w:rsidTr="007E51E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4DD4F" w14:textId="77777777" w:rsidR="00136088" w:rsidRPr="005F0C80" w:rsidRDefault="00136088" w:rsidP="0042466B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42466B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INSTRUMENTO DE RECOLECCIÓN DE INFORMACIÓN</w:t>
                  </w:r>
                </w:p>
              </w:tc>
            </w:tr>
          </w:tbl>
          <w:p w14:paraId="5D917D23" w14:textId="77777777" w:rsidR="00E42F45" w:rsidRDefault="00E42F45" w:rsidP="0042466B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75309C01" w14:textId="77777777" w:rsidR="00CC5F5A" w:rsidRDefault="00CC5F5A" w:rsidP="00CC5F5A">
            <w:p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Encuesta Nacional de Hogares (ENAHO)</w:t>
            </w:r>
          </w:p>
          <w:p w14:paraId="4194A30F" w14:textId="77777777" w:rsidR="00E122BC" w:rsidRPr="00E122BC" w:rsidRDefault="00E122BC" w:rsidP="00CC5F5A">
            <w:p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</w:p>
          <w:p w14:paraId="64DDC0CE" w14:textId="77777777" w:rsidR="00CC5F5A" w:rsidRPr="00E122BC" w:rsidRDefault="00CC5F5A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mes. Mes de procesamiento</w:t>
            </w:r>
          </w:p>
          <w:p w14:paraId="2A3A9526" w14:textId="66952671" w:rsidR="00CC5F5A" w:rsidRPr="00E122BC" w:rsidRDefault="00CC5F5A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 xml:space="preserve">p400a2. ¿En </w:t>
            </w:r>
            <w:r w:rsidR="004D1667" w:rsidRPr="00E122BC">
              <w:rPr>
                <w:rFonts w:ascii="Arial" w:hAnsi="Arial"/>
                <w:sz w:val="18"/>
                <w:szCs w:val="20"/>
              </w:rPr>
              <w:t>qué</w:t>
            </w:r>
            <w:r w:rsidRPr="00E122BC">
              <w:rPr>
                <w:rFonts w:ascii="Arial" w:hAnsi="Arial"/>
                <w:sz w:val="18"/>
                <w:szCs w:val="20"/>
              </w:rPr>
              <w:t xml:space="preserve"> día, mes y año nació?</w:t>
            </w:r>
          </w:p>
          <w:p w14:paraId="2478A561" w14:textId="68823951" w:rsidR="00CC5F5A" w:rsidRPr="00E122BC" w:rsidRDefault="00CC5F5A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 xml:space="preserve">p400a3. ¿En </w:t>
            </w:r>
            <w:r w:rsidR="004D1667" w:rsidRPr="00E122BC">
              <w:rPr>
                <w:rFonts w:ascii="Arial" w:hAnsi="Arial"/>
                <w:sz w:val="18"/>
                <w:szCs w:val="20"/>
              </w:rPr>
              <w:t>qué</w:t>
            </w:r>
            <w:bookmarkStart w:id="0" w:name="_GoBack"/>
            <w:bookmarkEnd w:id="0"/>
            <w:r w:rsidRPr="00E122BC">
              <w:rPr>
                <w:rFonts w:ascii="Arial" w:hAnsi="Arial"/>
                <w:sz w:val="18"/>
                <w:szCs w:val="20"/>
              </w:rPr>
              <w:t xml:space="preserve"> día, mes y año nació?</w:t>
            </w:r>
          </w:p>
          <w:p w14:paraId="436D3428" w14:textId="77777777" w:rsidR="00CC5F5A" w:rsidRPr="00E122BC" w:rsidRDefault="00CC5F5A" w:rsidP="00B409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p306. ¿Este año, está matriculado en algún centro o programa de educación básica o superior?</w:t>
            </w:r>
          </w:p>
          <w:p w14:paraId="655F0EDF" w14:textId="63F60645" w:rsidR="0042466B" w:rsidRDefault="00CC5F5A" w:rsidP="0042466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  <w:r w:rsidRPr="00E122BC">
              <w:rPr>
                <w:rFonts w:ascii="Arial" w:hAnsi="Arial"/>
                <w:sz w:val="18"/>
                <w:szCs w:val="20"/>
              </w:rPr>
              <w:t>p308a. ¿Cuál es el grado o año de estudios al que asiste?</w:t>
            </w:r>
          </w:p>
          <w:p w14:paraId="62C15912" w14:textId="77777777" w:rsidR="002F36C1" w:rsidRPr="002F36C1" w:rsidRDefault="002F36C1" w:rsidP="0042466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18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3"/>
            </w:tblGrid>
            <w:tr w:rsidR="005F0C80" w:rsidRPr="00B409FB" w14:paraId="46F95187" w14:textId="77777777" w:rsidTr="002F36C1">
              <w:trPr>
                <w:trHeight w:val="267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A96D6" w14:textId="77777777" w:rsidR="00136088" w:rsidRPr="005F0C80" w:rsidRDefault="00136088" w:rsidP="0042466B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2466B">
                    <w:rPr>
                      <w:rFonts w:ascii="Arial" w:hAnsi="Arial"/>
                      <w:b/>
                      <w:bCs/>
                      <w:sz w:val="20"/>
                      <w:szCs w:val="18"/>
                      <w:lang w:val="en-US"/>
                    </w:rPr>
                    <w:t>SINTAXIS</w:t>
                  </w:r>
                </w:p>
              </w:tc>
            </w:tr>
          </w:tbl>
          <w:p w14:paraId="0C9C0208" w14:textId="77777777" w:rsidR="00E122BC" w:rsidRPr="00B409FB" w:rsidRDefault="00E122BC" w:rsidP="0042466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48CC3AC8" w14:textId="6C1AD598" w:rsidR="003D0F40" w:rsidRDefault="00AB0235" w:rsidP="003D0F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*</w:t>
            </w:r>
            <w:r w:rsidR="003D0F40">
              <w:rPr>
                <w:rFonts w:ascii="Arial" w:hAnsi="Arial"/>
                <w:sz w:val="20"/>
                <w:szCs w:val="20"/>
                <w:lang w:val="en-US"/>
              </w:rPr>
              <w:t>La sintaxis fue generada con el software STATA 13</w:t>
            </w:r>
          </w:p>
          <w:p w14:paraId="6D01628F" w14:textId="77777777" w:rsidR="003D0F40" w:rsidRDefault="003D0F40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692EF079" w14:textId="77777777" w:rsidR="003D0F40" w:rsidRDefault="003D0F40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4E94AF2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*INDICADOR DE ACCESO EBR - PRIMARIA</w:t>
            </w:r>
          </w:p>
          <w:p w14:paraId="391007B7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3704D930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500CDAE2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clear all</w:t>
            </w:r>
          </w:p>
          <w:p w14:paraId="1835DEC7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set more off</w:t>
            </w:r>
            <w:r w:rsidRPr="00B409FB">
              <w:rPr>
                <w:rFonts w:ascii="Arial" w:hAnsi="Arial"/>
                <w:sz w:val="20"/>
                <w:lang w:val="es-PE"/>
              </w:rPr>
              <w:tab/>
            </w:r>
          </w:p>
          <w:p w14:paraId="65B0477D" w14:textId="64AC77EE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cd</w:t>
            </w:r>
            <w:r w:rsidR="0033284B">
              <w:rPr>
                <w:rFonts w:ascii="Arial" w:hAnsi="Arial"/>
                <w:sz w:val="20"/>
                <w:lang w:val="es-PE"/>
              </w:rPr>
              <w:t xml:space="preserve"> "C:\Users</w:t>
            </w:r>
            <w:r w:rsidRPr="00B409FB">
              <w:rPr>
                <w:rFonts w:ascii="Arial" w:hAnsi="Arial"/>
                <w:sz w:val="20"/>
                <w:lang w:val="es-PE"/>
              </w:rPr>
              <w:t>\Sintaxis\Indicadores Cobertura\COBERTURA_PRIMARIA"</w:t>
            </w:r>
          </w:p>
          <w:p w14:paraId="36B38663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20376719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set type double</w:t>
            </w:r>
          </w:p>
          <w:p w14:paraId="32FDDF5D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506EC727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*** Datos de edad y educación de la población ***</w:t>
            </w:r>
          </w:p>
          <w:p w14:paraId="44DB113D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2331247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*Modulo de salud</w:t>
            </w:r>
          </w:p>
          <w:p w14:paraId="2F515BED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use enaho01a-2015-400, clear</w:t>
            </w:r>
          </w:p>
          <w:p w14:paraId="5F405362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41CBD0F6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destring mes, replace</w:t>
            </w:r>
          </w:p>
          <w:p w14:paraId="431C3898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2CB4072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*Módulo de educación</w:t>
            </w:r>
          </w:p>
          <w:p w14:paraId="1182EDD0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merge 1:1 conglome vivienda hogar codperso using enaho01a-2015-300, keepusing(p3*) gen(_educ)</w:t>
            </w:r>
          </w:p>
          <w:p w14:paraId="66E9F018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drop if _educ==2</w:t>
            </w:r>
          </w:p>
          <w:p w14:paraId="37ACB704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drop _educ</w:t>
            </w:r>
          </w:p>
          <w:p w14:paraId="77F5D650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2D2BAE4E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7FCAA7E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*** Importación de los nombres de las regiones ***</w:t>
            </w:r>
          </w:p>
          <w:p w14:paraId="1C97F9E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gen cod_dep=substr(ubigeo,1,2)</w:t>
            </w:r>
          </w:p>
          <w:p w14:paraId="0D5BA4C9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43557ED4" w14:textId="1630451E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41EF598A" w14:textId="39847B29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</w:t>
            </w:r>
            <w:r w:rsidR="000D1F94">
              <w:rPr>
                <w:rFonts w:ascii="Arial" w:hAnsi="Arial"/>
                <w:sz w:val="20"/>
                <w:lang w:val="es-PE"/>
              </w:rPr>
              <w:t>* Cálculo de edad al 31 de Marzo</w:t>
            </w:r>
            <w:r w:rsidRPr="00B409FB">
              <w:rPr>
                <w:rFonts w:ascii="Arial" w:hAnsi="Arial"/>
                <w:sz w:val="20"/>
                <w:lang w:val="es-PE"/>
              </w:rPr>
              <w:t xml:space="preserve"> de 2015  ***</w:t>
            </w:r>
          </w:p>
          <w:p w14:paraId="164AEAC3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gen  fec_nac = mdy(p400a2,1,p400a3)</w:t>
            </w:r>
          </w:p>
          <w:p w14:paraId="531CF65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gen  fec_mes = mofd(fec_nac)</w:t>
            </w:r>
          </w:p>
          <w:p w14:paraId="1922FD43" w14:textId="071E2F52" w:rsidR="00B409FB" w:rsidRPr="00B409FB" w:rsidRDefault="000D1F94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>
              <w:rPr>
                <w:rFonts w:ascii="Arial" w:hAnsi="Arial"/>
                <w:sz w:val="20"/>
                <w:lang w:val="es-PE"/>
              </w:rPr>
              <w:lastRenderedPageBreak/>
              <w:t>gen  edad = int((mofd(mdy(3,31</w:t>
            </w:r>
            <w:r w:rsidR="00B409FB" w:rsidRPr="00B409FB">
              <w:rPr>
                <w:rFonts w:ascii="Arial" w:hAnsi="Arial"/>
                <w:sz w:val="20"/>
                <w:lang w:val="es-PE"/>
              </w:rPr>
              <w:t>,2015)) - fec_mes)/12)</w:t>
            </w:r>
          </w:p>
          <w:p w14:paraId="6E5AB9C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2995B0E1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*** Cálculo de población de primaria y matrícula en primaria ***</w:t>
            </w:r>
          </w:p>
          <w:p w14:paraId="6EAF7A62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5CF6E8DA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 xml:space="preserve">*Población en edad de ir a primaria </w:t>
            </w:r>
          </w:p>
          <w:p w14:paraId="074FD8BA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gen pob_prim = 1 if edad &gt;= 6 &amp; edad &lt;= 11 &amp; mes &gt; 3</w:t>
            </w:r>
          </w:p>
          <w:p w14:paraId="1D3A0FC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577BB4E2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*Población en edad de ir a primaria matriculada en primaria</w:t>
            </w:r>
          </w:p>
          <w:p w14:paraId="3FD72468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gen matri_prim = 1 if pob_prim==1 &amp; p306==1 &amp; p308a==2</w:t>
            </w:r>
          </w:p>
          <w:p w14:paraId="3B9C8F9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03E27BF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*** Colapso a nivel de región ***</w:t>
            </w:r>
          </w:p>
          <w:p w14:paraId="6B877638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collapse (sum) pob_prim matri_prim [pw=factor07], by(cod_dep)</w:t>
            </w:r>
            <w:r w:rsidRPr="00B409FB">
              <w:rPr>
                <w:rFonts w:ascii="Arial" w:hAnsi="Arial"/>
                <w:sz w:val="20"/>
                <w:lang w:val="en-US"/>
              </w:rPr>
              <w:tab/>
            </w:r>
          </w:p>
          <w:p w14:paraId="46CF2626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replace pob_prim = round(pob_prim,1)</w:t>
            </w:r>
          </w:p>
          <w:p w14:paraId="13F765EF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replace matri_prim = round(matri_prim,1)</w:t>
            </w:r>
          </w:p>
          <w:p w14:paraId="606F967E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3ED4514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*** Indicador a nivel nacional ***</w:t>
            </w:r>
          </w:p>
          <w:p w14:paraId="307FD9E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33D7FB6A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*Solo para línea de base LIMA</w:t>
            </w:r>
          </w:p>
          <w:p w14:paraId="7FD4F2B0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*keep if cod_dep=="15"</w:t>
            </w:r>
          </w:p>
          <w:p w14:paraId="276F3A5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711D9409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qui sum matri_prim</w:t>
            </w:r>
          </w:p>
          <w:p w14:paraId="16C51036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local num_prim = r(sum)</w:t>
            </w:r>
          </w:p>
          <w:p w14:paraId="210BB3A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58F88EF8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qui sum pob_prim</w:t>
            </w:r>
          </w:p>
          <w:p w14:paraId="5291B6DB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local den_prim = r(sum)</w:t>
            </w:r>
          </w:p>
          <w:p w14:paraId="3B20C594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73488652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local tasa_prim = round((`num_prim'/`den_prim')*100,0.01)</w:t>
            </w:r>
          </w:p>
          <w:p w14:paraId="4055E389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local tasano_prim = -(round((`num_prim'/`den_prim')*100,0.01)-100)</w:t>
            </w:r>
          </w:p>
          <w:p w14:paraId="3A06E067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4DB9CE5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*Tasa de matrícula en primaria de población entre 6 y 11 años</w:t>
            </w:r>
          </w:p>
          <w:p w14:paraId="681ECFFC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dis `tasa_prim'</w:t>
            </w:r>
          </w:p>
          <w:p w14:paraId="011DEBBD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</w:p>
          <w:p w14:paraId="73E9686E" w14:textId="77777777" w:rsidR="00B409FB" w:rsidRPr="00B409FB" w:rsidRDefault="00B409FB" w:rsidP="00B409FB">
            <w:pPr>
              <w:spacing w:after="0" w:line="240" w:lineRule="auto"/>
              <w:rPr>
                <w:rFonts w:ascii="Arial" w:hAnsi="Arial"/>
                <w:sz w:val="20"/>
                <w:lang w:val="es-PE"/>
              </w:rPr>
            </w:pPr>
            <w:r w:rsidRPr="00B409FB">
              <w:rPr>
                <w:rFonts w:ascii="Arial" w:hAnsi="Arial"/>
                <w:sz w:val="20"/>
                <w:lang w:val="es-PE"/>
              </w:rPr>
              <w:t>*Tasa de no matrícula en primaria de población entre 6 y 11 años</w:t>
            </w:r>
          </w:p>
          <w:p w14:paraId="06BA6653" w14:textId="5C583BB2" w:rsidR="0042466B" w:rsidRDefault="00B409FB" w:rsidP="00B409F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B409FB">
              <w:rPr>
                <w:rFonts w:ascii="Arial" w:hAnsi="Arial"/>
                <w:sz w:val="20"/>
                <w:lang w:val="en-US"/>
              </w:rPr>
              <w:t>dis `tasano_prim'</w:t>
            </w:r>
          </w:p>
          <w:p w14:paraId="2320AB41" w14:textId="7E1216FA" w:rsidR="0042466B" w:rsidRPr="0042466B" w:rsidRDefault="0042466B" w:rsidP="004246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0F3BB006" w14:textId="3FA0A594" w:rsidR="00F87B05" w:rsidRPr="005F0C80" w:rsidRDefault="00F87B05" w:rsidP="00B85817"/>
    <w:sectPr w:rsidR="00F87B05" w:rsidRPr="005F0C80" w:rsidSect="00A94AC3">
      <w:pgSz w:w="11906" w:h="16838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0F57" w14:textId="77777777" w:rsidR="00BC05FB" w:rsidRDefault="00BC05FB" w:rsidP="00ED2218">
      <w:pPr>
        <w:spacing w:after="0" w:line="240" w:lineRule="auto"/>
      </w:pPr>
      <w:r>
        <w:separator/>
      </w:r>
    </w:p>
  </w:endnote>
  <w:endnote w:type="continuationSeparator" w:id="0">
    <w:p w14:paraId="6A50A4AE" w14:textId="77777777" w:rsidR="00BC05FB" w:rsidRDefault="00BC05FB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B033" w14:textId="77777777" w:rsidR="00BC05FB" w:rsidRDefault="00BC05FB" w:rsidP="00ED2218">
      <w:pPr>
        <w:spacing w:after="0" w:line="240" w:lineRule="auto"/>
      </w:pPr>
      <w:r>
        <w:separator/>
      </w:r>
    </w:p>
  </w:footnote>
  <w:footnote w:type="continuationSeparator" w:id="0">
    <w:p w14:paraId="34CF34D7" w14:textId="77777777" w:rsidR="00BC05FB" w:rsidRDefault="00BC05FB" w:rsidP="00ED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14E"/>
    <w:multiLevelType w:val="hybridMultilevel"/>
    <w:tmpl w:val="CEC6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5F2"/>
    <w:multiLevelType w:val="hybridMultilevel"/>
    <w:tmpl w:val="E54AD13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50FC"/>
    <w:multiLevelType w:val="hybridMultilevel"/>
    <w:tmpl w:val="80EEAD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24E8"/>
    <w:multiLevelType w:val="hybridMultilevel"/>
    <w:tmpl w:val="2D2447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845"/>
    <w:multiLevelType w:val="hybridMultilevel"/>
    <w:tmpl w:val="D8E098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461"/>
    <w:multiLevelType w:val="hybridMultilevel"/>
    <w:tmpl w:val="C596B088"/>
    <w:lvl w:ilvl="0" w:tplc="E476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65BBA"/>
    <w:multiLevelType w:val="hybridMultilevel"/>
    <w:tmpl w:val="B0E612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51FB1"/>
    <w:multiLevelType w:val="hybridMultilevel"/>
    <w:tmpl w:val="F54893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4566D"/>
    <w:multiLevelType w:val="hybridMultilevel"/>
    <w:tmpl w:val="97BA581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24451"/>
    <w:multiLevelType w:val="hybridMultilevel"/>
    <w:tmpl w:val="E6562B60"/>
    <w:lvl w:ilvl="0" w:tplc="FB360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C12F6"/>
    <w:multiLevelType w:val="hybridMultilevel"/>
    <w:tmpl w:val="12161C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5"/>
  </w:num>
  <w:num w:numId="8">
    <w:abstractNumId w:val="5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18"/>
  </w:num>
  <w:num w:numId="15">
    <w:abstractNumId w:val="1"/>
  </w:num>
  <w:num w:numId="16">
    <w:abstractNumId w:val="11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13F3B"/>
    <w:rsid w:val="00025001"/>
    <w:rsid w:val="00050F5B"/>
    <w:rsid w:val="000567BB"/>
    <w:rsid w:val="00071859"/>
    <w:rsid w:val="0007267B"/>
    <w:rsid w:val="00081C7B"/>
    <w:rsid w:val="000A4A3D"/>
    <w:rsid w:val="000D1B2A"/>
    <w:rsid w:val="000D1F94"/>
    <w:rsid w:val="000E3EEB"/>
    <w:rsid w:val="000E5DF1"/>
    <w:rsid w:val="0010075A"/>
    <w:rsid w:val="00107AB3"/>
    <w:rsid w:val="00107E50"/>
    <w:rsid w:val="001129F9"/>
    <w:rsid w:val="00133388"/>
    <w:rsid w:val="00136088"/>
    <w:rsid w:val="00140078"/>
    <w:rsid w:val="001477B4"/>
    <w:rsid w:val="0015248A"/>
    <w:rsid w:val="00156C86"/>
    <w:rsid w:val="0016460E"/>
    <w:rsid w:val="00167A40"/>
    <w:rsid w:val="00183B0B"/>
    <w:rsid w:val="00184704"/>
    <w:rsid w:val="001866ED"/>
    <w:rsid w:val="001A37E0"/>
    <w:rsid w:val="001B21A2"/>
    <w:rsid w:val="001D6DC8"/>
    <w:rsid w:val="001E07AA"/>
    <w:rsid w:val="001E2601"/>
    <w:rsid w:val="001E4695"/>
    <w:rsid w:val="001F043D"/>
    <w:rsid w:val="0020281F"/>
    <w:rsid w:val="002104EB"/>
    <w:rsid w:val="00217F7C"/>
    <w:rsid w:val="00230B58"/>
    <w:rsid w:val="002402A8"/>
    <w:rsid w:val="00265A3F"/>
    <w:rsid w:val="002702CF"/>
    <w:rsid w:val="00270B1E"/>
    <w:rsid w:val="00284E47"/>
    <w:rsid w:val="00296FE1"/>
    <w:rsid w:val="002B582B"/>
    <w:rsid w:val="002B64E4"/>
    <w:rsid w:val="002C1174"/>
    <w:rsid w:val="002C4B41"/>
    <w:rsid w:val="002C4CF4"/>
    <w:rsid w:val="002E5C61"/>
    <w:rsid w:val="002F31A3"/>
    <w:rsid w:val="002F36C1"/>
    <w:rsid w:val="002F3F8E"/>
    <w:rsid w:val="002F5D9B"/>
    <w:rsid w:val="00306BE5"/>
    <w:rsid w:val="00315A35"/>
    <w:rsid w:val="0033284B"/>
    <w:rsid w:val="00337E63"/>
    <w:rsid w:val="00341A2E"/>
    <w:rsid w:val="00341C9B"/>
    <w:rsid w:val="003501AA"/>
    <w:rsid w:val="0035355E"/>
    <w:rsid w:val="003632C3"/>
    <w:rsid w:val="00371D17"/>
    <w:rsid w:val="00377541"/>
    <w:rsid w:val="00380A92"/>
    <w:rsid w:val="00393479"/>
    <w:rsid w:val="003A56DB"/>
    <w:rsid w:val="003B01D8"/>
    <w:rsid w:val="003B57FF"/>
    <w:rsid w:val="003D0F40"/>
    <w:rsid w:val="003D29A3"/>
    <w:rsid w:val="003F22F9"/>
    <w:rsid w:val="004026D5"/>
    <w:rsid w:val="0042466B"/>
    <w:rsid w:val="00424BD9"/>
    <w:rsid w:val="00437413"/>
    <w:rsid w:val="00437B89"/>
    <w:rsid w:val="00442A54"/>
    <w:rsid w:val="004736E9"/>
    <w:rsid w:val="004876C4"/>
    <w:rsid w:val="004B0301"/>
    <w:rsid w:val="004C1D52"/>
    <w:rsid w:val="004C6BF4"/>
    <w:rsid w:val="004C6E6A"/>
    <w:rsid w:val="004D1667"/>
    <w:rsid w:val="004D52B5"/>
    <w:rsid w:val="004F01AB"/>
    <w:rsid w:val="004F027D"/>
    <w:rsid w:val="004F36F6"/>
    <w:rsid w:val="0050211C"/>
    <w:rsid w:val="0050587D"/>
    <w:rsid w:val="00505A99"/>
    <w:rsid w:val="00512B65"/>
    <w:rsid w:val="005134E5"/>
    <w:rsid w:val="00522228"/>
    <w:rsid w:val="00541215"/>
    <w:rsid w:val="00551300"/>
    <w:rsid w:val="005614D2"/>
    <w:rsid w:val="0056380B"/>
    <w:rsid w:val="005924C3"/>
    <w:rsid w:val="00592643"/>
    <w:rsid w:val="00596CE6"/>
    <w:rsid w:val="005F0C80"/>
    <w:rsid w:val="006068EE"/>
    <w:rsid w:val="00614221"/>
    <w:rsid w:val="00627DB0"/>
    <w:rsid w:val="006331BD"/>
    <w:rsid w:val="006340D7"/>
    <w:rsid w:val="006477EE"/>
    <w:rsid w:val="006A4E8C"/>
    <w:rsid w:val="006A52B4"/>
    <w:rsid w:val="006B1092"/>
    <w:rsid w:val="006B3FE7"/>
    <w:rsid w:val="006B40FC"/>
    <w:rsid w:val="006B4FFF"/>
    <w:rsid w:val="006B7E99"/>
    <w:rsid w:val="006F4547"/>
    <w:rsid w:val="006F5FC9"/>
    <w:rsid w:val="00713E87"/>
    <w:rsid w:val="007201D2"/>
    <w:rsid w:val="00724AE6"/>
    <w:rsid w:val="0072627E"/>
    <w:rsid w:val="0074180E"/>
    <w:rsid w:val="007528D8"/>
    <w:rsid w:val="0078094F"/>
    <w:rsid w:val="007A7B83"/>
    <w:rsid w:val="007E0034"/>
    <w:rsid w:val="007E3DFD"/>
    <w:rsid w:val="007E51ED"/>
    <w:rsid w:val="0082585F"/>
    <w:rsid w:val="00850FE9"/>
    <w:rsid w:val="008B5AF2"/>
    <w:rsid w:val="009046B7"/>
    <w:rsid w:val="00917622"/>
    <w:rsid w:val="00917A0C"/>
    <w:rsid w:val="00925DC8"/>
    <w:rsid w:val="00951CC9"/>
    <w:rsid w:val="009A57A8"/>
    <w:rsid w:val="009C05A9"/>
    <w:rsid w:val="009C1A93"/>
    <w:rsid w:val="009C2D3E"/>
    <w:rsid w:val="009E00AB"/>
    <w:rsid w:val="009E4717"/>
    <w:rsid w:val="009F40D6"/>
    <w:rsid w:val="00A06F52"/>
    <w:rsid w:val="00A26EFF"/>
    <w:rsid w:val="00A3514F"/>
    <w:rsid w:val="00A3772A"/>
    <w:rsid w:val="00A453CE"/>
    <w:rsid w:val="00A614FA"/>
    <w:rsid w:val="00A75B09"/>
    <w:rsid w:val="00A92D72"/>
    <w:rsid w:val="00A94AC3"/>
    <w:rsid w:val="00AA5671"/>
    <w:rsid w:val="00AB0235"/>
    <w:rsid w:val="00AB2040"/>
    <w:rsid w:val="00AB6384"/>
    <w:rsid w:val="00AC0621"/>
    <w:rsid w:val="00AC7957"/>
    <w:rsid w:val="00B046E0"/>
    <w:rsid w:val="00B11653"/>
    <w:rsid w:val="00B2118B"/>
    <w:rsid w:val="00B2444E"/>
    <w:rsid w:val="00B409FB"/>
    <w:rsid w:val="00B51312"/>
    <w:rsid w:val="00B52BB5"/>
    <w:rsid w:val="00B7578F"/>
    <w:rsid w:val="00B80789"/>
    <w:rsid w:val="00B842D2"/>
    <w:rsid w:val="00B85817"/>
    <w:rsid w:val="00BA71C1"/>
    <w:rsid w:val="00BA72B1"/>
    <w:rsid w:val="00BC05FB"/>
    <w:rsid w:val="00C12E45"/>
    <w:rsid w:val="00C17FA7"/>
    <w:rsid w:val="00C21DE3"/>
    <w:rsid w:val="00C24E42"/>
    <w:rsid w:val="00C33847"/>
    <w:rsid w:val="00C508AE"/>
    <w:rsid w:val="00C51D34"/>
    <w:rsid w:val="00C608A1"/>
    <w:rsid w:val="00C66487"/>
    <w:rsid w:val="00C81A32"/>
    <w:rsid w:val="00C83A6A"/>
    <w:rsid w:val="00C85AA6"/>
    <w:rsid w:val="00C9410E"/>
    <w:rsid w:val="00CB3E59"/>
    <w:rsid w:val="00CB5054"/>
    <w:rsid w:val="00CC5F5A"/>
    <w:rsid w:val="00CF231A"/>
    <w:rsid w:val="00D21E55"/>
    <w:rsid w:val="00D223F4"/>
    <w:rsid w:val="00D23380"/>
    <w:rsid w:val="00D23A4E"/>
    <w:rsid w:val="00D44764"/>
    <w:rsid w:val="00D529DE"/>
    <w:rsid w:val="00D57DD3"/>
    <w:rsid w:val="00D679BC"/>
    <w:rsid w:val="00D717D3"/>
    <w:rsid w:val="00D72BBB"/>
    <w:rsid w:val="00D736AE"/>
    <w:rsid w:val="00D86208"/>
    <w:rsid w:val="00D874CF"/>
    <w:rsid w:val="00DB0E95"/>
    <w:rsid w:val="00DC3E8E"/>
    <w:rsid w:val="00DD2717"/>
    <w:rsid w:val="00DE042A"/>
    <w:rsid w:val="00E028B2"/>
    <w:rsid w:val="00E122BC"/>
    <w:rsid w:val="00E234F9"/>
    <w:rsid w:val="00E2394E"/>
    <w:rsid w:val="00E42F45"/>
    <w:rsid w:val="00E47237"/>
    <w:rsid w:val="00E474A0"/>
    <w:rsid w:val="00EC5000"/>
    <w:rsid w:val="00EC601D"/>
    <w:rsid w:val="00ED2218"/>
    <w:rsid w:val="00ED37CF"/>
    <w:rsid w:val="00ED739C"/>
    <w:rsid w:val="00EE713F"/>
    <w:rsid w:val="00EF0A6B"/>
    <w:rsid w:val="00EF0FBC"/>
    <w:rsid w:val="00EF6C1D"/>
    <w:rsid w:val="00F01305"/>
    <w:rsid w:val="00F14E4B"/>
    <w:rsid w:val="00F40047"/>
    <w:rsid w:val="00F513E4"/>
    <w:rsid w:val="00F61339"/>
    <w:rsid w:val="00F63B09"/>
    <w:rsid w:val="00F87B05"/>
    <w:rsid w:val="00F92CB3"/>
    <w:rsid w:val="00F94C8F"/>
    <w:rsid w:val="00F96662"/>
    <w:rsid w:val="00FA5E9D"/>
    <w:rsid w:val="00FA6414"/>
    <w:rsid w:val="00FB6F01"/>
    <w:rsid w:val="00FC076A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094E"/>
  <w15:chartTrackingRefBased/>
  <w15:docId w15:val="{9348BF7D-AFFC-4079-A780-623AA86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link w:val="Prrafodelista"/>
    <w:uiPriority w:val="34"/>
    <w:locked/>
    <w:rsid w:val="00D72BBB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3D0-4D8E-4524-866A-E7021CA9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Coronado, Christian Julio</dc:creator>
  <cp:keywords/>
  <dc:description/>
  <cp:lastModifiedBy>PAULO DANIEL MENDOZA BARRANTES</cp:lastModifiedBy>
  <cp:revision>3</cp:revision>
  <cp:lastPrinted>2019-02-18T22:32:00Z</cp:lastPrinted>
  <dcterms:created xsi:type="dcterms:W3CDTF">2019-02-15T17:17:00Z</dcterms:created>
  <dcterms:modified xsi:type="dcterms:W3CDTF">2019-02-18T22:33:00Z</dcterms:modified>
</cp:coreProperties>
</file>