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51268" w14:textId="4C44C381" w:rsidR="00805C37" w:rsidRDefault="00EB4802" w:rsidP="00F26C1F">
      <w:pPr>
        <w:spacing w:after="120" w:line="240" w:lineRule="auto"/>
        <w:contextualSpacing/>
        <w:jc w:val="both"/>
        <w:rPr>
          <w:rFonts w:ascii="Arial" w:hAnsi="Arial"/>
          <w:sz w:val="20"/>
          <w:szCs w:val="18"/>
        </w:rPr>
      </w:pPr>
      <w:r>
        <w:rPr>
          <w:rFonts w:ascii="Arial" w:hAnsi="Arial"/>
          <w:b/>
          <w:sz w:val="28"/>
          <w:szCs w:val="18"/>
        </w:rPr>
        <w:t>INDICADOR</w:t>
      </w:r>
      <w:r w:rsidR="00F875A3" w:rsidRPr="00F26C1F">
        <w:rPr>
          <w:rFonts w:ascii="Arial" w:hAnsi="Arial"/>
          <w:b/>
          <w:sz w:val="28"/>
          <w:szCs w:val="18"/>
        </w:rPr>
        <w:t xml:space="preserve"> </w:t>
      </w:r>
      <w:r w:rsidR="00AB7631">
        <w:rPr>
          <w:rFonts w:ascii="Arial" w:hAnsi="Arial"/>
          <w:b/>
          <w:sz w:val="28"/>
          <w:szCs w:val="18"/>
        </w:rPr>
        <w:t>28</w:t>
      </w:r>
      <w:r w:rsidR="00406A8A" w:rsidRPr="00F26C1F">
        <w:rPr>
          <w:rFonts w:ascii="Arial" w:hAnsi="Arial"/>
          <w:b/>
          <w:sz w:val="20"/>
          <w:szCs w:val="18"/>
        </w:rPr>
        <w:t xml:space="preserve">: </w:t>
      </w:r>
      <w:r w:rsidR="00805C37" w:rsidRPr="00805C37">
        <w:rPr>
          <w:rFonts w:ascii="Arial" w:hAnsi="Arial"/>
          <w:sz w:val="20"/>
          <w:szCs w:val="18"/>
        </w:rPr>
        <w:t>Porcentaje de instalaciones deportivas y /o recreativas en condiciones inadecuadas</w:t>
      </w:r>
    </w:p>
    <w:p w14:paraId="050D05B5" w14:textId="77777777" w:rsidR="00805C37" w:rsidRPr="00F26C1F" w:rsidRDefault="00805C37" w:rsidP="00F26C1F">
      <w:pPr>
        <w:spacing w:after="120" w:line="240" w:lineRule="auto"/>
        <w:contextualSpacing/>
        <w:jc w:val="both"/>
        <w:rPr>
          <w:rFonts w:ascii="Arial" w:hAnsi="Arial"/>
          <w:sz w:val="20"/>
          <w:szCs w:val="18"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1"/>
        <w:gridCol w:w="5659"/>
      </w:tblGrid>
      <w:tr w:rsidR="00B450CF" w:rsidRPr="00B450CF" w14:paraId="64D8B3EA" w14:textId="77777777" w:rsidTr="00B450CF">
        <w:trPr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DBBC3" w14:textId="77777777" w:rsidR="00B450CF" w:rsidRPr="00B450CF" w:rsidRDefault="00B450CF" w:rsidP="00B450CF">
            <w:pPr>
              <w:spacing w:after="0" w:line="240" w:lineRule="auto"/>
              <w:contextualSpacing/>
              <w:rPr>
                <w:rFonts w:ascii="Arial" w:hAnsi="Arial"/>
                <w:b/>
                <w:sz w:val="20"/>
                <w:szCs w:val="18"/>
              </w:rPr>
            </w:pPr>
            <w:r w:rsidRPr="00B450CF">
              <w:rPr>
                <w:rFonts w:ascii="Arial" w:hAnsi="Arial"/>
                <w:b/>
                <w:sz w:val="20"/>
                <w:szCs w:val="18"/>
              </w:rPr>
              <w:t>Nombre de la entidad pública: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909C6" w14:textId="77777777" w:rsidR="00B450CF" w:rsidRPr="00B450CF" w:rsidRDefault="00B450CF" w:rsidP="00B450CF">
            <w:pPr>
              <w:spacing w:after="0" w:line="240" w:lineRule="auto"/>
              <w:contextualSpacing/>
              <w:rPr>
                <w:rFonts w:ascii="Arial" w:hAnsi="Arial"/>
                <w:bCs/>
                <w:sz w:val="20"/>
                <w:szCs w:val="18"/>
              </w:rPr>
            </w:pPr>
            <w:r w:rsidRPr="00B450CF">
              <w:rPr>
                <w:rFonts w:ascii="Arial" w:hAnsi="Arial"/>
                <w:bCs/>
                <w:sz w:val="20"/>
                <w:szCs w:val="18"/>
              </w:rPr>
              <w:t>Ministerio de Educación</w:t>
            </w:r>
          </w:p>
        </w:tc>
      </w:tr>
      <w:tr w:rsidR="00B450CF" w:rsidRPr="00B450CF" w14:paraId="1B468B9B" w14:textId="77777777" w:rsidTr="00B450CF">
        <w:trPr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B00AE" w14:textId="77777777" w:rsidR="00B450CF" w:rsidRPr="00B450CF" w:rsidRDefault="00B450CF" w:rsidP="00B450CF">
            <w:pPr>
              <w:spacing w:after="0" w:line="240" w:lineRule="auto"/>
              <w:contextualSpacing/>
              <w:rPr>
                <w:rFonts w:ascii="Arial" w:hAnsi="Arial"/>
                <w:b/>
                <w:sz w:val="20"/>
                <w:szCs w:val="18"/>
              </w:rPr>
            </w:pPr>
            <w:r w:rsidRPr="00B450CF">
              <w:rPr>
                <w:rFonts w:ascii="Arial" w:hAnsi="Arial"/>
                <w:b/>
                <w:sz w:val="20"/>
                <w:szCs w:val="18"/>
              </w:rPr>
              <w:t>Fecha de elaboración: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609E6" w14:textId="2623FD3E" w:rsidR="00B450CF" w:rsidRPr="00B450CF" w:rsidRDefault="00805C37" w:rsidP="00B450CF">
            <w:pPr>
              <w:spacing w:after="0" w:line="240" w:lineRule="auto"/>
              <w:contextualSpacing/>
              <w:rPr>
                <w:rFonts w:ascii="Arial" w:hAnsi="Arial"/>
                <w:bCs/>
                <w:sz w:val="20"/>
                <w:szCs w:val="18"/>
              </w:rPr>
            </w:pPr>
            <w:r>
              <w:rPr>
                <w:rFonts w:ascii="Arial" w:hAnsi="Arial"/>
                <w:bCs/>
                <w:sz w:val="20"/>
                <w:szCs w:val="18"/>
              </w:rPr>
              <w:t>15.02.19</w:t>
            </w:r>
          </w:p>
        </w:tc>
      </w:tr>
      <w:tr w:rsidR="00B450CF" w:rsidRPr="00B450CF" w14:paraId="5A5EF673" w14:textId="77777777" w:rsidTr="00B450CF">
        <w:trPr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684FC" w14:textId="77777777" w:rsidR="00B450CF" w:rsidRPr="00B450CF" w:rsidRDefault="00B450CF" w:rsidP="00B450CF">
            <w:pPr>
              <w:spacing w:after="0" w:line="240" w:lineRule="auto"/>
              <w:contextualSpacing/>
              <w:rPr>
                <w:rFonts w:ascii="Arial" w:hAnsi="Arial"/>
                <w:b/>
                <w:sz w:val="20"/>
                <w:szCs w:val="18"/>
              </w:rPr>
            </w:pPr>
            <w:r w:rsidRPr="00B450CF">
              <w:rPr>
                <w:rFonts w:ascii="Arial" w:hAnsi="Arial"/>
                <w:b/>
                <w:sz w:val="20"/>
                <w:szCs w:val="18"/>
              </w:rPr>
              <w:t>Sector: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A2EC" w14:textId="77777777" w:rsidR="00B450CF" w:rsidRPr="00B450CF" w:rsidRDefault="00B450CF" w:rsidP="00B450CF">
            <w:pPr>
              <w:spacing w:after="0" w:line="240" w:lineRule="auto"/>
              <w:contextualSpacing/>
              <w:rPr>
                <w:rFonts w:ascii="Arial" w:hAnsi="Arial"/>
                <w:bCs/>
                <w:sz w:val="20"/>
                <w:szCs w:val="18"/>
              </w:rPr>
            </w:pPr>
            <w:r w:rsidRPr="00B450CF">
              <w:rPr>
                <w:rFonts w:ascii="Arial" w:hAnsi="Arial"/>
                <w:bCs/>
                <w:sz w:val="20"/>
                <w:szCs w:val="18"/>
              </w:rPr>
              <w:t>Educación</w:t>
            </w:r>
          </w:p>
        </w:tc>
      </w:tr>
      <w:tr w:rsidR="00B450CF" w:rsidRPr="00B450CF" w14:paraId="16030213" w14:textId="77777777" w:rsidTr="00B450CF">
        <w:trPr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174E5" w14:textId="77777777" w:rsidR="00B450CF" w:rsidRPr="00B450CF" w:rsidRDefault="00B450CF" w:rsidP="00B450CF">
            <w:pPr>
              <w:spacing w:after="0" w:line="240" w:lineRule="auto"/>
              <w:contextualSpacing/>
              <w:rPr>
                <w:rFonts w:ascii="Arial" w:hAnsi="Arial"/>
                <w:b/>
                <w:sz w:val="20"/>
                <w:szCs w:val="18"/>
              </w:rPr>
            </w:pPr>
            <w:r w:rsidRPr="00B450CF">
              <w:rPr>
                <w:rFonts w:ascii="Arial" w:hAnsi="Arial"/>
                <w:b/>
                <w:sz w:val="20"/>
                <w:szCs w:val="18"/>
              </w:rPr>
              <w:t>Función: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E23E0" w14:textId="77777777" w:rsidR="00B450CF" w:rsidRPr="00B450CF" w:rsidRDefault="00B450CF" w:rsidP="00B450CF">
            <w:pPr>
              <w:spacing w:after="0" w:line="240" w:lineRule="auto"/>
              <w:contextualSpacing/>
              <w:rPr>
                <w:rFonts w:ascii="Arial" w:hAnsi="Arial"/>
                <w:bCs/>
                <w:sz w:val="20"/>
                <w:szCs w:val="18"/>
              </w:rPr>
            </w:pPr>
            <w:r w:rsidRPr="00B450CF">
              <w:rPr>
                <w:rFonts w:ascii="Arial" w:hAnsi="Arial"/>
                <w:bCs/>
                <w:sz w:val="20"/>
                <w:szCs w:val="18"/>
              </w:rPr>
              <w:t>21 Cultura y Deporte</w:t>
            </w:r>
          </w:p>
        </w:tc>
      </w:tr>
      <w:tr w:rsidR="00B450CF" w:rsidRPr="00B450CF" w14:paraId="776A77AF" w14:textId="77777777" w:rsidTr="00B450CF">
        <w:trPr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34123" w14:textId="77777777" w:rsidR="00B450CF" w:rsidRPr="00B450CF" w:rsidRDefault="00B450CF" w:rsidP="00B450CF">
            <w:pPr>
              <w:spacing w:after="0" w:line="240" w:lineRule="auto"/>
              <w:contextualSpacing/>
              <w:rPr>
                <w:rFonts w:ascii="Arial" w:hAnsi="Arial"/>
                <w:b/>
                <w:sz w:val="20"/>
                <w:szCs w:val="18"/>
              </w:rPr>
            </w:pPr>
            <w:r w:rsidRPr="00B450CF">
              <w:rPr>
                <w:rFonts w:ascii="Arial" w:hAnsi="Arial"/>
                <w:b/>
                <w:sz w:val="20"/>
                <w:szCs w:val="18"/>
              </w:rPr>
              <w:t>División funcional: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691F7" w14:textId="77777777" w:rsidR="00B450CF" w:rsidRPr="00B450CF" w:rsidRDefault="00B450CF" w:rsidP="00B450CF">
            <w:pPr>
              <w:spacing w:after="0" w:line="240" w:lineRule="auto"/>
              <w:contextualSpacing/>
              <w:rPr>
                <w:rFonts w:ascii="Arial" w:hAnsi="Arial"/>
                <w:bCs/>
                <w:sz w:val="20"/>
                <w:szCs w:val="18"/>
              </w:rPr>
            </w:pPr>
            <w:r w:rsidRPr="00B450CF">
              <w:rPr>
                <w:rFonts w:ascii="Arial" w:hAnsi="Arial"/>
                <w:bCs/>
                <w:sz w:val="20"/>
                <w:szCs w:val="18"/>
              </w:rPr>
              <w:t>046 Deportes</w:t>
            </w:r>
          </w:p>
        </w:tc>
      </w:tr>
      <w:tr w:rsidR="00B450CF" w:rsidRPr="00B450CF" w14:paraId="36C0CD19" w14:textId="77777777" w:rsidTr="00B450CF">
        <w:trPr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E754D" w14:textId="77777777" w:rsidR="00B450CF" w:rsidRPr="00B450CF" w:rsidRDefault="00B450CF" w:rsidP="00B450CF">
            <w:pPr>
              <w:spacing w:after="0" w:line="240" w:lineRule="auto"/>
              <w:contextualSpacing/>
              <w:rPr>
                <w:rFonts w:ascii="Arial" w:hAnsi="Arial"/>
                <w:b/>
                <w:sz w:val="20"/>
                <w:szCs w:val="18"/>
              </w:rPr>
            </w:pPr>
            <w:r w:rsidRPr="00B450CF">
              <w:rPr>
                <w:rFonts w:ascii="Arial" w:hAnsi="Arial"/>
                <w:b/>
                <w:sz w:val="20"/>
                <w:szCs w:val="18"/>
              </w:rPr>
              <w:t>Grupo funcional: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6E735" w14:textId="77777777" w:rsidR="00B450CF" w:rsidRPr="00B450CF" w:rsidRDefault="00B450CF" w:rsidP="00B450CF">
            <w:pPr>
              <w:spacing w:after="0" w:line="240" w:lineRule="auto"/>
              <w:contextualSpacing/>
              <w:rPr>
                <w:rFonts w:ascii="Arial" w:hAnsi="Arial"/>
                <w:bCs/>
                <w:sz w:val="20"/>
                <w:szCs w:val="18"/>
              </w:rPr>
            </w:pPr>
            <w:r w:rsidRPr="00B450CF">
              <w:rPr>
                <w:rFonts w:ascii="Arial" w:hAnsi="Arial"/>
                <w:bCs/>
                <w:sz w:val="20"/>
                <w:szCs w:val="18"/>
              </w:rPr>
              <w:t xml:space="preserve">0102 Infraestructura Deportiva y Recreativa       </w:t>
            </w:r>
          </w:p>
        </w:tc>
      </w:tr>
      <w:tr w:rsidR="00B450CF" w:rsidRPr="00B450CF" w14:paraId="7D0C8C19" w14:textId="77777777" w:rsidTr="00B450CF">
        <w:trPr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900D7" w14:textId="77777777" w:rsidR="00B450CF" w:rsidRPr="00B450CF" w:rsidRDefault="00B450CF" w:rsidP="00B450CF">
            <w:pPr>
              <w:spacing w:after="0" w:line="240" w:lineRule="auto"/>
              <w:contextualSpacing/>
              <w:rPr>
                <w:rFonts w:ascii="Arial" w:hAnsi="Arial"/>
                <w:b/>
                <w:sz w:val="20"/>
                <w:szCs w:val="18"/>
              </w:rPr>
            </w:pPr>
            <w:r w:rsidRPr="00B450CF">
              <w:rPr>
                <w:rFonts w:ascii="Arial" w:hAnsi="Arial"/>
                <w:b/>
                <w:sz w:val="20"/>
                <w:szCs w:val="18"/>
              </w:rPr>
              <w:t>Servicio público asociado: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1F9E5" w14:textId="51AAE785" w:rsidR="00B450CF" w:rsidRPr="00B450CF" w:rsidRDefault="00014E19" w:rsidP="00C81F86">
            <w:pPr>
              <w:spacing w:after="0" w:line="240" w:lineRule="auto"/>
              <w:contextualSpacing/>
              <w:rPr>
                <w:rFonts w:ascii="Arial" w:hAnsi="Arial"/>
                <w:bCs/>
                <w:sz w:val="20"/>
                <w:szCs w:val="18"/>
              </w:rPr>
            </w:pPr>
            <w:r>
              <w:rPr>
                <w:rFonts w:ascii="Arial" w:hAnsi="Arial"/>
                <w:bCs/>
                <w:sz w:val="20"/>
                <w:szCs w:val="18"/>
              </w:rPr>
              <w:t xml:space="preserve">Servicio </w:t>
            </w:r>
            <w:r w:rsidR="00C81F86">
              <w:rPr>
                <w:rFonts w:ascii="Arial" w:hAnsi="Arial"/>
                <w:bCs/>
                <w:sz w:val="20"/>
                <w:szCs w:val="18"/>
              </w:rPr>
              <w:t>deportivo y/o</w:t>
            </w:r>
            <w:r w:rsidR="007B508A">
              <w:rPr>
                <w:rFonts w:ascii="Arial" w:hAnsi="Arial"/>
                <w:bCs/>
                <w:sz w:val="20"/>
                <w:szCs w:val="18"/>
              </w:rPr>
              <w:t xml:space="preserve"> r</w:t>
            </w:r>
            <w:r w:rsidR="00B450CF" w:rsidRPr="00B450CF">
              <w:rPr>
                <w:rFonts w:ascii="Arial" w:hAnsi="Arial"/>
                <w:bCs/>
                <w:sz w:val="20"/>
                <w:szCs w:val="18"/>
              </w:rPr>
              <w:t>ecreativa</w:t>
            </w:r>
          </w:p>
        </w:tc>
      </w:tr>
      <w:tr w:rsidR="00B450CF" w:rsidRPr="00B450CF" w14:paraId="7DBF45D1" w14:textId="77777777" w:rsidTr="00B450CF">
        <w:trPr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786FA" w14:textId="23060646" w:rsidR="00B450CF" w:rsidRPr="00B450CF" w:rsidRDefault="00B450CF" w:rsidP="00B450CF">
            <w:pPr>
              <w:spacing w:after="0" w:line="240" w:lineRule="auto"/>
              <w:contextualSpacing/>
              <w:rPr>
                <w:rFonts w:ascii="Arial" w:hAnsi="Arial"/>
                <w:b/>
                <w:sz w:val="20"/>
                <w:szCs w:val="18"/>
              </w:rPr>
            </w:pPr>
            <w:r w:rsidRPr="00B450CF">
              <w:rPr>
                <w:rFonts w:ascii="Arial" w:hAnsi="Arial"/>
                <w:b/>
                <w:sz w:val="20"/>
                <w:szCs w:val="18"/>
              </w:rPr>
              <w:t>Tipología del proyecto: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2143D" w14:textId="247CABE0" w:rsidR="00B450CF" w:rsidRPr="00B450CF" w:rsidRDefault="00014E19" w:rsidP="00A908F6">
            <w:pPr>
              <w:spacing w:after="0" w:line="240" w:lineRule="auto"/>
              <w:contextualSpacing/>
              <w:rPr>
                <w:rFonts w:ascii="Arial" w:hAnsi="Arial"/>
                <w:bCs/>
                <w:sz w:val="20"/>
                <w:szCs w:val="18"/>
              </w:rPr>
            </w:pPr>
            <w:r>
              <w:rPr>
                <w:rFonts w:ascii="Arial" w:hAnsi="Arial"/>
                <w:bCs/>
                <w:sz w:val="20"/>
                <w:szCs w:val="18"/>
              </w:rPr>
              <w:t>P</w:t>
            </w:r>
            <w:r w:rsidR="00B450CF" w:rsidRPr="00B450CF">
              <w:rPr>
                <w:rFonts w:ascii="Arial" w:hAnsi="Arial"/>
                <w:bCs/>
                <w:sz w:val="20"/>
                <w:szCs w:val="18"/>
              </w:rPr>
              <w:t xml:space="preserve">ráctica </w:t>
            </w:r>
            <w:r w:rsidR="00C81F86">
              <w:rPr>
                <w:rFonts w:ascii="Arial" w:hAnsi="Arial"/>
                <w:bCs/>
                <w:sz w:val="20"/>
                <w:szCs w:val="18"/>
              </w:rPr>
              <w:t xml:space="preserve">deportiva y/o </w:t>
            </w:r>
            <w:r w:rsidR="00B450CF" w:rsidRPr="00B450CF">
              <w:rPr>
                <w:rFonts w:ascii="Arial" w:hAnsi="Arial"/>
                <w:bCs/>
                <w:sz w:val="20"/>
                <w:szCs w:val="18"/>
              </w:rPr>
              <w:t>recreativa</w:t>
            </w:r>
          </w:p>
        </w:tc>
      </w:tr>
    </w:tbl>
    <w:p w14:paraId="00811C6B" w14:textId="77777777" w:rsidR="00C064BF" w:rsidRPr="00F26C1F" w:rsidRDefault="00C064BF" w:rsidP="00F26C1F">
      <w:pPr>
        <w:contextualSpacing/>
        <w:rPr>
          <w:rFonts w:ascii="Arial" w:hAnsi="Arial"/>
          <w:bCs/>
          <w:sz w:val="18"/>
          <w:szCs w:val="18"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C064BF" w:rsidRPr="00F26C1F" w14:paraId="54C8B9E5" w14:textId="77777777" w:rsidTr="00152068">
        <w:trPr>
          <w:jc w:val="center"/>
        </w:trPr>
        <w:tc>
          <w:tcPr>
            <w:tcW w:w="5000" w:type="pct"/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C064BF" w:rsidRPr="00F26C1F" w14:paraId="511C0B6C" w14:textId="77777777" w:rsidTr="00152068">
              <w:trPr>
                <w:trHeight w:val="204"/>
              </w:trPr>
              <w:tc>
                <w:tcPr>
                  <w:tcW w:w="5000" w:type="pct"/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2BD876" w14:textId="77777777" w:rsidR="00C064BF" w:rsidRPr="00152068" w:rsidRDefault="00C064BF" w:rsidP="00F26C1F">
                  <w:pPr>
                    <w:contextualSpacing/>
                    <w:jc w:val="center"/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</w:pPr>
                  <w:r w:rsidRPr="00152068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PROGR</w:t>
                  </w:r>
                  <w:r w:rsidR="00D63EE2" w:rsidRPr="00152068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AMA PRESUPUESTAL</w:t>
                  </w:r>
                </w:p>
              </w:tc>
            </w:tr>
          </w:tbl>
          <w:p w14:paraId="3BEF0A79" w14:textId="77777777" w:rsidR="00C064BF" w:rsidRPr="00152068" w:rsidRDefault="00C064BF" w:rsidP="00F26C1F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C064BF" w:rsidRPr="00152068" w14:paraId="0B72274C" w14:textId="77777777" w:rsidTr="001B4A9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718E6F" w14:textId="355ACBB9" w:rsidR="00C064BF" w:rsidRPr="00152068" w:rsidRDefault="00152068" w:rsidP="00F26C1F">
                  <w:pPr>
                    <w:pStyle w:val="Prrafodelista1"/>
                    <w:ind w:left="360" w:hanging="360"/>
                    <w:jc w:val="center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 w:rsidRPr="00152068">
                    <w:rPr>
                      <w:rFonts w:ascii="Arial" w:hAnsi="Arial" w:cs="Arial"/>
                      <w:b/>
                      <w:sz w:val="20"/>
                      <w:szCs w:val="18"/>
                    </w:rPr>
                    <w:t>NOMBRE DEL INDICADOR</w:t>
                  </w:r>
                </w:p>
              </w:tc>
            </w:tr>
          </w:tbl>
          <w:p w14:paraId="6CF94D27" w14:textId="77777777" w:rsidR="00F26C1F" w:rsidRDefault="00F26C1F" w:rsidP="00F26C1F">
            <w:pPr>
              <w:spacing w:after="120"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355A4276" w14:textId="2EF26CA6" w:rsidR="00C064BF" w:rsidRDefault="00805C37" w:rsidP="00F26C1F">
            <w:pPr>
              <w:spacing w:after="120"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805C37">
              <w:rPr>
                <w:rFonts w:ascii="Arial" w:hAnsi="Arial"/>
                <w:sz w:val="20"/>
                <w:szCs w:val="18"/>
              </w:rPr>
              <w:t xml:space="preserve">Porcentaje de instalaciones deportivas y /o recreativas en condiciones inadecuadas </w:t>
            </w:r>
            <w:r w:rsidR="00E83BEE">
              <w:rPr>
                <w:rFonts w:ascii="Arial" w:hAnsi="Arial"/>
                <w:sz w:val="18"/>
                <w:szCs w:val="18"/>
              </w:rPr>
              <w:t>(PI</w:t>
            </w:r>
            <w:r w:rsidR="00C81F86">
              <w:rPr>
                <w:rFonts w:ascii="Arial" w:hAnsi="Arial"/>
                <w:sz w:val="18"/>
                <w:szCs w:val="18"/>
              </w:rPr>
              <w:t>D</w:t>
            </w:r>
            <w:r w:rsidR="001412B7">
              <w:rPr>
                <w:rFonts w:ascii="Arial" w:hAnsi="Arial"/>
                <w:sz w:val="18"/>
                <w:szCs w:val="18"/>
              </w:rPr>
              <w:t>RI</w:t>
            </w:r>
            <w:r w:rsidR="00E83BEE">
              <w:rPr>
                <w:rFonts w:ascii="Arial" w:hAnsi="Arial"/>
                <w:sz w:val="18"/>
                <w:szCs w:val="18"/>
              </w:rPr>
              <w:t>)</w:t>
            </w:r>
          </w:p>
          <w:p w14:paraId="3311CE13" w14:textId="77777777" w:rsidR="00F26C1F" w:rsidRPr="00F26C1F" w:rsidRDefault="00F26C1F" w:rsidP="00F26C1F">
            <w:pPr>
              <w:spacing w:after="120"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C064BF" w:rsidRPr="00F26C1F" w14:paraId="4046BF9A" w14:textId="77777777" w:rsidTr="001B4A97">
              <w:tc>
                <w:tcPr>
                  <w:tcW w:w="5000" w:type="pct"/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B47704" w14:textId="58FBE676" w:rsidR="00C064BF" w:rsidRPr="00152068" w:rsidRDefault="00152068" w:rsidP="00152068">
                  <w:pPr>
                    <w:contextualSpacing/>
                    <w:jc w:val="center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152068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ÁMBITO DE CONTROL</w:t>
                  </w:r>
                  <w:r w:rsidRPr="00152068">
                    <w:rPr>
                      <w:rFonts w:ascii="Arial" w:hAnsi="Arial"/>
                      <w:bCs/>
                      <w:sz w:val="20"/>
                      <w:szCs w:val="20"/>
                      <w:lang w:val="es-MX"/>
                    </w:rPr>
                    <w:t xml:space="preserve"> </w:t>
                  </w:r>
                </w:p>
              </w:tc>
            </w:tr>
          </w:tbl>
          <w:p w14:paraId="672EAECF" w14:textId="77777777" w:rsidR="00F26C1F" w:rsidRPr="00F26C1F" w:rsidRDefault="00F26C1F" w:rsidP="00F26C1F">
            <w:pPr>
              <w:spacing w:after="120"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7531470A" w14:textId="3A688F02" w:rsidR="00C064BF" w:rsidRPr="00F26C1F" w:rsidRDefault="00F26C1F" w:rsidP="00F26C1F">
            <w:pPr>
              <w:spacing w:after="120"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F26C1F">
              <w:rPr>
                <w:rFonts w:ascii="Arial" w:hAnsi="Arial"/>
                <w:sz w:val="18"/>
                <w:szCs w:val="18"/>
              </w:rPr>
              <w:t xml:space="preserve">Producto: </w:t>
            </w:r>
            <w:r w:rsidR="001412B7">
              <w:rPr>
                <w:rFonts w:ascii="Arial" w:hAnsi="Arial"/>
                <w:sz w:val="18"/>
                <w:szCs w:val="18"/>
              </w:rPr>
              <w:t xml:space="preserve"> instalaciones </w:t>
            </w:r>
            <w:r w:rsidR="00C81F86">
              <w:rPr>
                <w:rFonts w:ascii="Arial" w:hAnsi="Arial"/>
                <w:sz w:val="18"/>
                <w:szCs w:val="18"/>
              </w:rPr>
              <w:t xml:space="preserve">deportivas y/o </w:t>
            </w:r>
            <w:r w:rsidR="001412B7">
              <w:rPr>
                <w:rFonts w:ascii="Arial" w:hAnsi="Arial"/>
                <w:sz w:val="18"/>
                <w:szCs w:val="18"/>
              </w:rPr>
              <w:t>recreativas</w:t>
            </w:r>
            <w:r w:rsidR="00C064BF" w:rsidRPr="00F26C1F">
              <w:rPr>
                <w:rFonts w:ascii="Arial" w:hAnsi="Arial"/>
                <w:sz w:val="18"/>
                <w:szCs w:val="18"/>
              </w:rPr>
              <w:t xml:space="preserve"> adecuadas </w:t>
            </w:r>
            <w:r w:rsidR="001412B7">
              <w:rPr>
                <w:rFonts w:ascii="Arial" w:hAnsi="Arial"/>
                <w:sz w:val="18"/>
                <w:szCs w:val="18"/>
              </w:rPr>
              <w:t>para la práctica de actividades</w:t>
            </w:r>
            <w:r w:rsidRPr="00F26C1F">
              <w:rPr>
                <w:rFonts w:ascii="Arial" w:hAnsi="Arial"/>
                <w:sz w:val="18"/>
                <w:szCs w:val="18"/>
              </w:rPr>
              <w:t xml:space="preserve"> recreativas</w:t>
            </w:r>
          </w:p>
          <w:p w14:paraId="04F5211B" w14:textId="77777777" w:rsidR="00F26C1F" w:rsidRPr="00F26C1F" w:rsidRDefault="00F26C1F" w:rsidP="00F26C1F">
            <w:pPr>
              <w:spacing w:after="120"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C064BF" w:rsidRPr="00F26C1F" w14:paraId="756699E7" w14:textId="77777777" w:rsidTr="001B4A97">
              <w:tc>
                <w:tcPr>
                  <w:tcW w:w="5000" w:type="pct"/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7F5180" w14:textId="52C51AC0" w:rsidR="00C064BF" w:rsidRPr="00152068" w:rsidRDefault="00C064BF" w:rsidP="00152068">
                  <w:pPr>
                    <w:ind w:left="360"/>
                    <w:contextualSpacing/>
                    <w:jc w:val="center"/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</w:pPr>
                  <w:r w:rsidRPr="00152068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PLIEGOS QUE EJECUTAN ACCIONES EN EL MARCO DEL PROGRAMA PRESUPUESTAL</w:t>
                  </w:r>
                </w:p>
              </w:tc>
            </w:tr>
          </w:tbl>
          <w:p w14:paraId="4D1B80F3" w14:textId="77777777" w:rsidR="00F26C1F" w:rsidRDefault="00F26C1F" w:rsidP="00F26C1F">
            <w:pPr>
              <w:spacing w:after="0"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7C2B1D3D" w14:textId="60C427D9" w:rsidR="00C064BF" w:rsidRPr="00F26C1F" w:rsidRDefault="00BB5E2E" w:rsidP="00F26C1F">
            <w:pPr>
              <w:spacing w:after="0"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Gobierno Nacional</w:t>
            </w:r>
            <w:r w:rsidR="00DA3AB4">
              <w:rPr>
                <w:rFonts w:ascii="Arial" w:hAnsi="Arial"/>
                <w:sz w:val="18"/>
                <w:szCs w:val="18"/>
              </w:rPr>
              <w:t>,</w:t>
            </w:r>
            <w:r w:rsidR="00C064BF" w:rsidRPr="00F26C1F">
              <w:rPr>
                <w:rFonts w:ascii="Arial" w:hAnsi="Arial"/>
                <w:sz w:val="18"/>
                <w:szCs w:val="18"/>
              </w:rPr>
              <w:t xml:space="preserve"> Gobierno</w:t>
            </w:r>
            <w:r>
              <w:rPr>
                <w:rFonts w:ascii="Arial" w:hAnsi="Arial"/>
                <w:sz w:val="18"/>
                <w:szCs w:val="18"/>
              </w:rPr>
              <w:t xml:space="preserve"> Regionales y Gobiernos Locales</w:t>
            </w:r>
          </w:p>
          <w:p w14:paraId="1D0DA3C6" w14:textId="77777777" w:rsidR="00C064BF" w:rsidRPr="00F26C1F" w:rsidRDefault="00C064BF" w:rsidP="00F26C1F">
            <w:pPr>
              <w:spacing w:after="0" w:line="240" w:lineRule="auto"/>
              <w:contextualSpacing/>
              <w:jc w:val="both"/>
              <w:rPr>
                <w:rFonts w:ascii="Arial" w:hAnsi="Arial"/>
                <w:color w:val="1F3864" w:themeColor="accent5" w:themeShade="80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C064BF" w:rsidRPr="00F26C1F" w14:paraId="44C041C2" w14:textId="77777777" w:rsidTr="001B4A9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50AB16" w14:textId="77777777" w:rsidR="00C064BF" w:rsidRPr="00152068" w:rsidRDefault="00C064BF" w:rsidP="00F26C1F">
                  <w:pPr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</w:pPr>
                  <w:r w:rsidRPr="00152068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DEFINICIÓN</w:t>
                  </w:r>
                </w:p>
              </w:tc>
            </w:tr>
          </w:tbl>
          <w:p w14:paraId="332EC025" w14:textId="77777777" w:rsidR="00F26C1F" w:rsidRDefault="00F26C1F" w:rsidP="00F26C1F">
            <w:pPr>
              <w:spacing w:after="0"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1EA7965B" w14:textId="15432BF4" w:rsidR="00C064BF" w:rsidRDefault="00C064BF" w:rsidP="00F26C1F">
            <w:pPr>
              <w:spacing w:after="0"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F26C1F">
              <w:rPr>
                <w:rFonts w:ascii="Arial" w:hAnsi="Arial"/>
                <w:sz w:val="18"/>
                <w:szCs w:val="18"/>
              </w:rPr>
              <w:t xml:space="preserve">El indicador busca cuantificar el número </w:t>
            </w:r>
            <w:r w:rsidR="004501D2" w:rsidRPr="00F26C1F">
              <w:rPr>
                <w:rFonts w:ascii="Arial" w:hAnsi="Arial"/>
                <w:sz w:val="18"/>
                <w:szCs w:val="18"/>
              </w:rPr>
              <w:t xml:space="preserve">de </w:t>
            </w:r>
            <w:r w:rsidR="004501D2">
              <w:rPr>
                <w:rFonts w:ascii="Arial" w:hAnsi="Arial"/>
                <w:sz w:val="18"/>
                <w:szCs w:val="18"/>
              </w:rPr>
              <w:t xml:space="preserve">infraestructuras </w:t>
            </w:r>
            <w:r w:rsidR="00C81F86">
              <w:rPr>
                <w:rFonts w:ascii="Arial" w:hAnsi="Arial"/>
                <w:sz w:val="18"/>
                <w:szCs w:val="18"/>
              </w:rPr>
              <w:t xml:space="preserve">deportivas recreativas y </w:t>
            </w:r>
            <w:r w:rsidR="004501D2">
              <w:rPr>
                <w:rFonts w:ascii="Arial" w:hAnsi="Arial"/>
                <w:sz w:val="18"/>
                <w:szCs w:val="18"/>
              </w:rPr>
              <w:t>recreativas</w:t>
            </w:r>
            <w:r w:rsidR="009528EF">
              <w:rPr>
                <w:rFonts w:ascii="Arial" w:hAnsi="Arial"/>
                <w:sz w:val="18"/>
                <w:szCs w:val="18"/>
              </w:rPr>
              <w:t>,</w:t>
            </w:r>
            <w:r w:rsidR="004501D2">
              <w:rPr>
                <w:rFonts w:ascii="Arial" w:hAnsi="Arial"/>
                <w:sz w:val="18"/>
                <w:szCs w:val="18"/>
              </w:rPr>
              <w:t xml:space="preserve"> administradas por el Instituto Peruano</w:t>
            </w:r>
            <w:r w:rsidR="00347E20">
              <w:rPr>
                <w:rFonts w:ascii="Arial" w:hAnsi="Arial"/>
                <w:sz w:val="18"/>
                <w:szCs w:val="18"/>
              </w:rPr>
              <w:t xml:space="preserve"> del Deporte</w:t>
            </w:r>
            <w:r w:rsidR="007B6F2C">
              <w:rPr>
                <w:rFonts w:ascii="Arial" w:hAnsi="Arial"/>
                <w:sz w:val="18"/>
                <w:szCs w:val="18"/>
              </w:rPr>
              <w:t xml:space="preserve"> (IPD) y el Centro </w:t>
            </w:r>
            <w:r w:rsidR="001E519F">
              <w:rPr>
                <w:rFonts w:ascii="Arial" w:hAnsi="Arial"/>
                <w:sz w:val="18"/>
                <w:szCs w:val="18"/>
              </w:rPr>
              <w:t xml:space="preserve">Vacacional </w:t>
            </w:r>
            <w:proofErr w:type="spellStart"/>
            <w:r w:rsidR="001E519F">
              <w:rPr>
                <w:rFonts w:ascii="Arial" w:hAnsi="Arial"/>
                <w:sz w:val="18"/>
                <w:szCs w:val="18"/>
              </w:rPr>
              <w:t>Huampani</w:t>
            </w:r>
            <w:proofErr w:type="spellEnd"/>
            <w:r w:rsidR="007B6F2C">
              <w:rPr>
                <w:rFonts w:ascii="Arial" w:hAnsi="Arial"/>
                <w:sz w:val="18"/>
                <w:szCs w:val="18"/>
              </w:rPr>
              <w:t xml:space="preserve"> (CVH)</w:t>
            </w:r>
            <w:r w:rsidR="00C81F86">
              <w:rPr>
                <w:rFonts w:ascii="Arial" w:hAnsi="Arial"/>
                <w:sz w:val="18"/>
                <w:szCs w:val="18"/>
              </w:rPr>
              <w:t xml:space="preserve"> respectivamente</w:t>
            </w:r>
            <w:r w:rsidR="001E519F">
              <w:rPr>
                <w:rFonts w:ascii="Arial" w:hAnsi="Arial"/>
                <w:sz w:val="18"/>
                <w:szCs w:val="18"/>
              </w:rPr>
              <w:t xml:space="preserve">, </w:t>
            </w:r>
            <w:r w:rsidRPr="00F26C1F">
              <w:rPr>
                <w:rFonts w:ascii="Arial" w:hAnsi="Arial"/>
                <w:sz w:val="18"/>
                <w:szCs w:val="18"/>
              </w:rPr>
              <w:t>a nivel nacional, que no se encuentran en las mejores condiciones para la práctica de a</w:t>
            </w:r>
            <w:r w:rsidR="003816C3" w:rsidRPr="00F26C1F">
              <w:rPr>
                <w:rFonts w:ascii="Arial" w:hAnsi="Arial"/>
                <w:sz w:val="18"/>
                <w:szCs w:val="18"/>
              </w:rPr>
              <w:t>ctividades</w:t>
            </w:r>
            <w:r w:rsidR="00014E19">
              <w:rPr>
                <w:rFonts w:ascii="Arial" w:hAnsi="Arial"/>
                <w:sz w:val="18"/>
                <w:szCs w:val="18"/>
              </w:rPr>
              <w:t xml:space="preserve"> físicas, </w:t>
            </w:r>
            <w:r w:rsidRPr="00F26C1F">
              <w:rPr>
                <w:rFonts w:ascii="Arial" w:hAnsi="Arial"/>
                <w:sz w:val="18"/>
                <w:szCs w:val="18"/>
              </w:rPr>
              <w:t>recreativas.</w:t>
            </w:r>
          </w:p>
          <w:p w14:paraId="52B209B8" w14:textId="77777777" w:rsidR="00014E19" w:rsidRDefault="00014E19" w:rsidP="00F26C1F">
            <w:pPr>
              <w:spacing w:after="0"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10ED0860" w14:textId="77777777" w:rsidR="00014E19" w:rsidRPr="00014E19" w:rsidRDefault="00014E19" w:rsidP="00014E19">
            <w:pPr>
              <w:spacing w:after="0"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014E19">
              <w:rPr>
                <w:rFonts w:ascii="Arial" w:hAnsi="Arial"/>
                <w:sz w:val="18"/>
                <w:szCs w:val="18"/>
              </w:rPr>
              <w:t xml:space="preserve">El Centro Vacacional </w:t>
            </w:r>
            <w:proofErr w:type="spellStart"/>
            <w:r w:rsidRPr="00014E19">
              <w:rPr>
                <w:rFonts w:ascii="Arial" w:hAnsi="Arial"/>
                <w:sz w:val="18"/>
                <w:szCs w:val="18"/>
              </w:rPr>
              <w:t>Huampaní</w:t>
            </w:r>
            <w:proofErr w:type="spellEnd"/>
            <w:r w:rsidRPr="00014E19">
              <w:rPr>
                <w:rFonts w:ascii="Arial" w:hAnsi="Arial"/>
                <w:sz w:val="18"/>
                <w:szCs w:val="18"/>
              </w:rPr>
              <w:t xml:space="preserve"> brinda servicios recreativos (alojamiento, alimentación, convenciones y esparcimiento) a los sectores públicos y privados, con estándares de calidad orientados a alcanzar niveles de satisfacción en el usuario contribuyendo al bienestar físico, desarrollo intelectual y emocional de la población.</w:t>
            </w:r>
          </w:p>
          <w:p w14:paraId="5DFDF280" w14:textId="77777777" w:rsidR="003816C3" w:rsidRPr="00F26C1F" w:rsidRDefault="003816C3" w:rsidP="00F26C1F">
            <w:pPr>
              <w:spacing w:after="0"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0CEE45CC" w14:textId="4CF9DC13" w:rsidR="003816C3" w:rsidRDefault="003816C3" w:rsidP="0033598A">
            <w:pPr>
              <w:spacing w:after="0" w:line="240" w:lineRule="auto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33598A">
              <w:rPr>
                <w:rFonts w:ascii="Arial" w:hAnsi="Arial"/>
                <w:bCs/>
                <w:sz w:val="18"/>
                <w:szCs w:val="18"/>
              </w:rPr>
              <w:t>Las condiciones</w:t>
            </w:r>
            <w:r w:rsidR="00014E19">
              <w:rPr>
                <w:rFonts w:ascii="Arial" w:hAnsi="Arial"/>
                <w:bCs/>
                <w:sz w:val="18"/>
                <w:szCs w:val="18"/>
              </w:rPr>
              <w:t xml:space="preserve"> de infraestructura </w:t>
            </w:r>
            <w:r w:rsidR="009528EF">
              <w:rPr>
                <w:rFonts w:ascii="Arial" w:hAnsi="Arial"/>
                <w:bCs/>
                <w:sz w:val="18"/>
                <w:szCs w:val="18"/>
              </w:rPr>
              <w:t xml:space="preserve">deportiva </w:t>
            </w:r>
            <w:r w:rsidR="001E519F">
              <w:rPr>
                <w:rFonts w:ascii="Arial" w:hAnsi="Arial"/>
                <w:bCs/>
                <w:sz w:val="18"/>
                <w:szCs w:val="18"/>
              </w:rPr>
              <w:t xml:space="preserve">recreativa </w:t>
            </w:r>
            <w:r w:rsidRPr="0033598A">
              <w:rPr>
                <w:rFonts w:ascii="Arial" w:hAnsi="Arial"/>
                <w:bCs/>
                <w:sz w:val="18"/>
                <w:szCs w:val="18"/>
              </w:rPr>
              <w:t xml:space="preserve">inadecuada </w:t>
            </w:r>
            <w:r w:rsidR="007B6F2C">
              <w:rPr>
                <w:rFonts w:ascii="Arial" w:hAnsi="Arial"/>
                <w:bCs/>
                <w:sz w:val="18"/>
                <w:szCs w:val="18"/>
              </w:rPr>
              <w:t xml:space="preserve">administradas por el IPD </w:t>
            </w:r>
            <w:r w:rsidRPr="0033598A">
              <w:rPr>
                <w:rFonts w:ascii="Arial" w:hAnsi="Arial"/>
                <w:bCs/>
                <w:sz w:val="18"/>
                <w:szCs w:val="18"/>
              </w:rPr>
              <w:t xml:space="preserve">son aquellas que no cumplen con el estándar reglamentario internacional y no permiten el desarrollo fluido de las actividades deportivas de competencia como, el deterioro de la infraestructura. </w:t>
            </w:r>
          </w:p>
          <w:p w14:paraId="7F5CF0DB" w14:textId="77777777" w:rsidR="002C0D42" w:rsidRDefault="002C0D42" w:rsidP="0033598A">
            <w:pPr>
              <w:spacing w:after="0" w:line="240" w:lineRule="auto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  <w:p w14:paraId="27841E43" w14:textId="287C93BB" w:rsidR="002C0D42" w:rsidRDefault="002C0D42" w:rsidP="002C0D42">
            <w:pPr>
              <w:spacing w:after="0"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F26C1F">
              <w:rPr>
                <w:rFonts w:ascii="Arial" w:hAnsi="Arial"/>
                <w:sz w:val="18"/>
                <w:szCs w:val="18"/>
              </w:rPr>
              <w:t>Se con</w:t>
            </w:r>
            <w:r w:rsidR="004501D2">
              <w:rPr>
                <w:rFonts w:ascii="Arial" w:hAnsi="Arial"/>
                <w:sz w:val="18"/>
                <w:szCs w:val="18"/>
              </w:rPr>
              <w:t>sidera infraestructura</w:t>
            </w:r>
            <w:r w:rsidR="009528EF">
              <w:rPr>
                <w:rFonts w:ascii="Arial" w:hAnsi="Arial"/>
                <w:sz w:val="18"/>
                <w:szCs w:val="18"/>
              </w:rPr>
              <w:t xml:space="preserve"> deportiva</w:t>
            </w:r>
            <w:r w:rsidR="004501D2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recreación</w:t>
            </w:r>
            <w:r w:rsidR="004501D2">
              <w:rPr>
                <w:rFonts w:ascii="Arial" w:hAnsi="Arial"/>
                <w:sz w:val="18"/>
                <w:szCs w:val="18"/>
              </w:rPr>
              <w:t xml:space="preserve"> para el IPD</w:t>
            </w:r>
            <w:r w:rsidRPr="00F26C1F">
              <w:rPr>
                <w:rFonts w:ascii="Arial" w:hAnsi="Arial"/>
                <w:sz w:val="18"/>
                <w:szCs w:val="18"/>
              </w:rPr>
              <w:t>:</w:t>
            </w:r>
          </w:p>
          <w:p w14:paraId="47F93C98" w14:textId="77777777" w:rsidR="002C0D42" w:rsidRDefault="002C0D42" w:rsidP="002C0D42">
            <w:pPr>
              <w:spacing w:after="0"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4258B19F" w14:textId="77777777" w:rsidR="002C0D42" w:rsidRPr="00152068" w:rsidRDefault="002C0D42" w:rsidP="002C0D4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  <w:r w:rsidRPr="00152068">
              <w:rPr>
                <w:rFonts w:ascii="Arial" w:hAnsi="Arial"/>
                <w:b/>
                <w:sz w:val="18"/>
                <w:szCs w:val="18"/>
              </w:rPr>
              <w:t>Complejo deportivo</w:t>
            </w:r>
            <w:r w:rsidRPr="00152068">
              <w:rPr>
                <w:rFonts w:ascii="Arial" w:hAnsi="Arial"/>
                <w:sz w:val="18"/>
                <w:szCs w:val="18"/>
              </w:rPr>
              <w:t xml:space="preserve"> para la práctica masiva del deporte a nivel recreativo del </w:t>
            </w:r>
            <w:proofErr w:type="spellStart"/>
            <w:r w:rsidRPr="00152068">
              <w:rPr>
                <w:rFonts w:ascii="Arial" w:hAnsi="Arial"/>
                <w:sz w:val="18"/>
                <w:szCs w:val="18"/>
              </w:rPr>
              <w:t>futsal</w:t>
            </w:r>
            <w:proofErr w:type="spellEnd"/>
            <w:r w:rsidRPr="00152068">
              <w:rPr>
                <w:rFonts w:ascii="Arial" w:hAnsi="Arial"/>
                <w:sz w:val="18"/>
                <w:szCs w:val="18"/>
              </w:rPr>
              <w:t>, natación, voleibol, básquetbol y fútbol. Generalmente tienen 1 o 2 canchas en total.</w:t>
            </w:r>
          </w:p>
          <w:p w14:paraId="5FA2E984" w14:textId="77777777" w:rsidR="002C0D42" w:rsidRPr="00152068" w:rsidRDefault="002C0D42" w:rsidP="002C0D42">
            <w:pPr>
              <w:pStyle w:val="Prrafodelista"/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07E5551B" w14:textId="407CD2B6" w:rsidR="002C0D42" w:rsidRPr="00152068" w:rsidRDefault="002C0D42" w:rsidP="002C0D4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152068">
              <w:rPr>
                <w:rFonts w:ascii="Arial" w:hAnsi="Arial"/>
                <w:b/>
                <w:sz w:val="18"/>
                <w:szCs w:val="18"/>
              </w:rPr>
              <w:t>Mini complejos deportivos o Losas Multideportivas</w:t>
            </w:r>
            <w:r w:rsidR="00D002C0">
              <w:rPr>
                <w:rFonts w:ascii="Arial" w:hAnsi="Arial"/>
                <w:b/>
                <w:sz w:val="18"/>
                <w:szCs w:val="18"/>
              </w:rPr>
              <w:t xml:space="preserve"> y deportivas</w:t>
            </w:r>
            <w:r w:rsidRPr="00152068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152068">
              <w:rPr>
                <w:rFonts w:ascii="Arial" w:hAnsi="Arial"/>
                <w:sz w:val="18"/>
                <w:szCs w:val="18"/>
              </w:rPr>
              <w:t xml:space="preserve">para la práctica masiva del deporte a nivel recreativo del </w:t>
            </w:r>
            <w:proofErr w:type="spellStart"/>
            <w:r w:rsidRPr="00152068">
              <w:rPr>
                <w:rFonts w:ascii="Arial" w:hAnsi="Arial"/>
                <w:sz w:val="18"/>
                <w:szCs w:val="18"/>
              </w:rPr>
              <w:t>futsal</w:t>
            </w:r>
            <w:proofErr w:type="spellEnd"/>
            <w:r w:rsidRPr="00152068">
              <w:rPr>
                <w:rFonts w:ascii="Arial" w:hAnsi="Arial"/>
                <w:sz w:val="18"/>
                <w:szCs w:val="18"/>
              </w:rPr>
              <w:t>, voleibol, básquetbol y fútbol. Generalmente tienen 1 o 2 canchas en total</w:t>
            </w:r>
            <w:r w:rsidRPr="00152068">
              <w:rPr>
                <w:rFonts w:ascii="Arial" w:hAnsi="Arial"/>
                <w:b/>
                <w:sz w:val="18"/>
                <w:szCs w:val="18"/>
              </w:rPr>
              <w:t>.</w:t>
            </w:r>
          </w:p>
          <w:p w14:paraId="03FEB2B8" w14:textId="77777777" w:rsidR="002C0D42" w:rsidRPr="00152068" w:rsidRDefault="002C0D42" w:rsidP="002C0D4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5D1B0260" w14:textId="77777777" w:rsidR="002C0D42" w:rsidRDefault="002C0D42" w:rsidP="002C0D4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152068">
              <w:rPr>
                <w:rFonts w:ascii="Arial" w:hAnsi="Arial"/>
                <w:b/>
                <w:sz w:val="18"/>
                <w:szCs w:val="18"/>
              </w:rPr>
              <w:t xml:space="preserve">Piscina </w:t>
            </w:r>
            <w:proofErr w:type="spellStart"/>
            <w:r w:rsidRPr="00152068">
              <w:rPr>
                <w:rFonts w:ascii="Arial" w:hAnsi="Arial"/>
                <w:b/>
                <w:sz w:val="18"/>
                <w:szCs w:val="18"/>
              </w:rPr>
              <w:t>semi-Olimpica</w:t>
            </w:r>
            <w:proofErr w:type="spellEnd"/>
            <w:r w:rsidRPr="00152068">
              <w:rPr>
                <w:rFonts w:ascii="Arial" w:hAnsi="Arial"/>
                <w:b/>
                <w:sz w:val="18"/>
                <w:szCs w:val="18"/>
              </w:rPr>
              <w:t xml:space="preserve"> (con sistema temperado)</w:t>
            </w:r>
            <w:r w:rsidRPr="00152068">
              <w:rPr>
                <w:rFonts w:ascii="Arial" w:hAnsi="Arial"/>
                <w:sz w:val="18"/>
                <w:szCs w:val="18"/>
              </w:rPr>
              <w:t>, para la práctica masiva de natación a nivel recreativo, durante todo el año.</w:t>
            </w:r>
          </w:p>
          <w:p w14:paraId="70370C4A" w14:textId="77777777" w:rsidR="002C0D42" w:rsidRPr="00152068" w:rsidRDefault="002C0D42" w:rsidP="002C0D4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4B6DCBAA" w14:textId="13FC4FE5" w:rsidR="00347E20" w:rsidRDefault="002C0D42" w:rsidP="001412B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152068">
              <w:rPr>
                <w:rFonts w:ascii="Arial" w:hAnsi="Arial"/>
                <w:b/>
                <w:sz w:val="18"/>
                <w:szCs w:val="18"/>
              </w:rPr>
              <w:t>Polideportivo</w:t>
            </w:r>
            <w:r w:rsidRPr="00152068">
              <w:rPr>
                <w:rFonts w:ascii="Arial" w:hAnsi="Arial"/>
                <w:sz w:val="18"/>
                <w:szCs w:val="18"/>
              </w:rPr>
              <w:t xml:space="preserve">, para la práctica recreativa del voleibol, básquetbol, </w:t>
            </w:r>
            <w:proofErr w:type="spellStart"/>
            <w:r w:rsidRPr="00152068">
              <w:rPr>
                <w:rFonts w:ascii="Arial" w:hAnsi="Arial"/>
                <w:sz w:val="18"/>
                <w:szCs w:val="18"/>
              </w:rPr>
              <w:t>futsal</w:t>
            </w:r>
            <w:proofErr w:type="spellEnd"/>
            <w:r w:rsidRPr="00152068">
              <w:rPr>
                <w:rFonts w:ascii="Arial" w:hAnsi="Arial"/>
                <w:sz w:val="18"/>
                <w:szCs w:val="18"/>
              </w:rPr>
              <w:t>, artes marciales, box, gimnasia y otros deportes. Pueden tener o no tribunas.</w:t>
            </w:r>
          </w:p>
          <w:p w14:paraId="5191CE72" w14:textId="77777777" w:rsidR="001412B7" w:rsidRPr="001412B7" w:rsidRDefault="001412B7" w:rsidP="001412B7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50D38574" w14:textId="6BA24FB5" w:rsidR="00347E20" w:rsidRDefault="007B6F2C" w:rsidP="00347E20">
            <w:pPr>
              <w:spacing w:after="0" w:line="240" w:lineRule="auto"/>
              <w:contextualSpacing/>
              <w:jc w:val="both"/>
              <w:rPr>
                <w:rFonts w:ascii="Arial" w:hAnsi="Arial"/>
                <w:bCs/>
                <w:sz w:val="20"/>
                <w:szCs w:val="18"/>
                <w:lang w:val="es-PE"/>
              </w:rPr>
            </w:pPr>
            <w:r>
              <w:rPr>
                <w:rFonts w:ascii="Arial" w:hAnsi="Arial"/>
                <w:bCs/>
                <w:sz w:val="20"/>
                <w:szCs w:val="18"/>
                <w:lang w:val="es-PE"/>
              </w:rPr>
              <w:t xml:space="preserve">Para el caso de la </w:t>
            </w:r>
            <w:r w:rsidR="00DF58A1">
              <w:rPr>
                <w:rFonts w:ascii="Arial" w:hAnsi="Arial"/>
                <w:bCs/>
                <w:sz w:val="20"/>
                <w:szCs w:val="18"/>
                <w:lang w:val="es-PE"/>
              </w:rPr>
              <w:t xml:space="preserve">infraestructura </w:t>
            </w:r>
            <w:r w:rsidR="00347E20">
              <w:rPr>
                <w:rFonts w:ascii="Arial" w:hAnsi="Arial"/>
                <w:bCs/>
                <w:sz w:val="20"/>
                <w:szCs w:val="18"/>
                <w:lang w:val="es-PE"/>
              </w:rPr>
              <w:t xml:space="preserve">de las instalaciones </w:t>
            </w:r>
            <w:r w:rsidR="00DF58A1">
              <w:rPr>
                <w:rFonts w:ascii="Arial" w:hAnsi="Arial"/>
                <w:bCs/>
                <w:sz w:val="20"/>
                <w:szCs w:val="18"/>
                <w:lang w:val="es-PE"/>
              </w:rPr>
              <w:t>recreativas</w:t>
            </w:r>
            <w:r>
              <w:rPr>
                <w:rFonts w:ascii="Arial" w:hAnsi="Arial"/>
                <w:bCs/>
                <w:sz w:val="20"/>
                <w:szCs w:val="18"/>
                <w:lang w:val="es-PE"/>
              </w:rPr>
              <w:t xml:space="preserve"> de CVH</w:t>
            </w:r>
            <w:r w:rsidR="00DF58A1">
              <w:rPr>
                <w:rFonts w:ascii="Arial" w:hAnsi="Arial"/>
                <w:bCs/>
                <w:sz w:val="20"/>
                <w:szCs w:val="18"/>
                <w:lang w:val="es-PE"/>
              </w:rPr>
              <w:t xml:space="preserve"> </w:t>
            </w:r>
            <w:r>
              <w:rPr>
                <w:rFonts w:ascii="Arial" w:hAnsi="Arial"/>
                <w:bCs/>
                <w:sz w:val="20"/>
                <w:szCs w:val="18"/>
                <w:lang w:val="es-PE"/>
              </w:rPr>
              <w:t>se consideran</w:t>
            </w:r>
            <w:r w:rsidR="00347E20">
              <w:rPr>
                <w:rFonts w:ascii="Arial" w:hAnsi="Arial"/>
                <w:bCs/>
                <w:sz w:val="20"/>
                <w:szCs w:val="18"/>
                <w:lang w:val="es-PE"/>
              </w:rPr>
              <w:t xml:space="preserve"> </w:t>
            </w:r>
            <w:r w:rsidR="00347E20" w:rsidRPr="00975175">
              <w:rPr>
                <w:rFonts w:ascii="Arial" w:hAnsi="Arial"/>
                <w:bCs/>
                <w:sz w:val="20"/>
                <w:szCs w:val="18"/>
                <w:lang w:val="es-PE"/>
              </w:rPr>
              <w:t>inadecuada</w:t>
            </w:r>
            <w:r w:rsidR="00347E20">
              <w:rPr>
                <w:rFonts w:ascii="Arial" w:hAnsi="Arial"/>
                <w:bCs/>
                <w:sz w:val="20"/>
                <w:szCs w:val="18"/>
                <w:lang w:val="es-PE"/>
              </w:rPr>
              <w:t>s</w:t>
            </w:r>
            <w:r w:rsidR="00347E20" w:rsidRPr="00975175">
              <w:rPr>
                <w:rFonts w:ascii="Arial" w:hAnsi="Arial"/>
                <w:bCs/>
                <w:sz w:val="20"/>
                <w:szCs w:val="18"/>
                <w:lang w:val="es-PE"/>
              </w:rPr>
              <w:t xml:space="preserve"> cuando no cumple las normas mínimas del Reglamento Nacional de Edificaciones (RNE), ni las condiciones de seguridad  para la prestación del servicio.</w:t>
            </w:r>
          </w:p>
          <w:p w14:paraId="3E1ECCB3" w14:textId="77777777" w:rsidR="001412B7" w:rsidRDefault="001412B7" w:rsidP="00347E20">
            <w:pPr>
              <w:spacing w:after="0" w:line="240" w:lineRule="auto"/>
              <w:contextualSpacing/>
              <w:jc w:val="both"/>
              <w:rPr>
                <w:rFonts w:ascii="Arial" w:hAnsi="Arial"/>
                <w:bCs/>
                <w:sz w:val="20"/>
                <w:szCs w:val="18"/>
                <w:lang w:val="es-PE"/>
              </w:rPr>
            </w:pPr>
          </w:p>
          <w:p w14:paraId="3E9FB336" w14:textId="77777777" w:rsidR="001412B7" w:rsidRPr="00975175" w:rsidRDefault="001412B7" w:rsidP="00347E20">
            <w:pPr>
              <w:spacing w:after="0" w:line="240" w:lineRule="auto"/>
              <w:contextualSpacing/>
              <w:jc w:val="both"/>
              <w:rPr>
                <w:rFonts w:ascii="Arial" w:hAnsi="Arial"/>
                <w:bCs/>
                <w:sz w:val="20"/>
                <w:szCs w:val="18"/>
                <w:lang w:val="es-PE"/>
              </w:rPr>
            </w:pPr>
          </w:p>
          <w:p w14:paraId="70A029BB" w14:textId="0F4E7B0E" w:rsidR="00347E20" w:rsidRPr="00347E20" w:rsidRDefault="00347E20" w:rsidP="00347E20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1E3FE399" w14:textId="77777777" w:rsidR="00C064BF" w:rsidRPr="00F26C1F" w:rsidRDefault="00C064BF" w:rsidP="00F26C1F">
            <w:pPr>
              <w:contextualSpacing/>
              <w:jc w:val="both"/>
              <w:rPr>
                <w:rFonts w:ascii="Arial" w:hAnsi="Arial"/>
                <w:bCs/>
                <w:color w:val="1F3864" w:themeColor="accent5" w:themeShade="80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C064BF" w:rsidRPr="00F26C1F" w14:paraId="0A5BB578" w14:textId="77777777" w:rsidTr="001B4A9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0B2373" w14:textId="77777777" w:rsidR="00C064BF" w:rsidRPr="00152068" w:rsidRDefault="00C064BF" w:rsidP="00F26C1F">
                  <w:pPr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</w:pPr>
                  <w:r w:rsidRPr="00152068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DIMENSIÓN DE DESEMPEÑO</w:t>
                  </w:r>
                </w:p>
              </w:tc>
            </w:tr>
          </w:tbl>
          <w:p w14:paraId="7B4D6307" w14:textId="238E2B6D" w:rsidR="00C064BF" w:rsidRDefault="00C064BF" w:rsidP="00F26C1F">
            <w:pPr>
              <w:spacing w:after="120"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311A8B61" w14:textId="2EB99EC7" w:rsidR="00E96762" w:rsidRPr="001412B7" w:rsidRDefault="00F26C1F" w:rsidP="00F26C1F">
            <w:pPr>
              <w:spacing w:after="120" w:line="240" w:lineRule="auto"/>
              <w:contextualSpacing/>
              <w:jc w:val="both"/>
              <w:rPr>
                <w:rFonts w:ascii="Arial" w:hAnsi="Arial"/>
                <w:sz w:val="18"/>
                <w:szCs w:val="18"/>
                <w:lang w:val="es-MX"/>
              </w:rPr>
            </w:pPr>
            <w:r w:rsidRPr="00133203">
              <w:rPr>
                <w:rFonts w:ascii="Arial" w:hAnsi="Arial"/>
                <w:sz w:val="18"/>
                <w:szCs w:val="18"/>
                <w:lang w:val="es-MX"/>
              </w:rPr>
              <w:t>El indicador es de brecha de calidad</w:t>
            </w:r>
          </w:p>
          <w:p w14:paraId="6261DC02" w14:textId="77777777" w:rsidR="00E96762" w:rsidRPr="00F26C1F" w:rsidRDefault="00E96762" w:rsidP="00F26C1F">
            <w:pPr>
              <w:spacing w:after="120"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C064BF" w:rsidRPr="00F26C1F" w14:paraId="54F0DC08" w14:textId="77777777" w:rsidTr="001B4A9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DD0AB6" w14:textId="77777777" w:rsidR="00C064BF" w:rsidRPr="00152068" w:rsidRDefault="00C064BF" w:rsidP="00F26C1F">
                  <w:pPr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</w:pPr>
                  <w:r w:rsidRPr="00152068">
                    <w:rPr>
                      <w:rFonts w:ascii="Arial" w:hAnsi="Arial"/>
                      <w:sz w:val="20"/>
                      <w:szCs w:val="18"/>
                    </w:rPr>
                    <w:br w:type="page"/>
                  </w:r>
                  <w:r w:rsidRPr="00152068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 xml:space="preserve">VALOR DEL INDICADOR </w:t>
                  </w:r>
                </w:p>
              </w:tc>
            </w:tr>
          </w:tbl>
          <w:p w14:paraId="6213A99C" w14:textId="77777777" w:rsidR="00CB1282" w:rsidRDefault="00CB1282" w:rsidP="00CB1282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es-PE"/>
              </w:rPr>
            </w:pPr>
          </w:p>
          <w:p w14:paraId="3C2C0E69" w14:textId="77777777" w:rsidR="00805C37" w:rsidRDefault="00805C37" w:rsidP="00805C37">
            <w:r>
              <w:rPr>
                <w:rFonts w:ascii="Arial" w:hAnsi="Arial"/>
                <w:sz w:val="20"/>
                <w:szCs w:val="20"/>
                <w:lang w:val="es-MX"/>
              </w:rPr>
              <w:t>De acuerdo al método del cálculo y las bases de datos actualizadas</w:t>
            </w:r>
          </w:p>
          <w:p w14:paraId="6B1473F2" w14:textId="77777777" w:rsidR="00C064BF" w:rsidRPr="00F26C1F" w:rsidRDefault="00C064BF" w:rsidP="00F26C1F">
            <w:pPr>
              <w:spacing w:after="0" w:line="240" w:lineRule="auto"/>
              <w:contextualSpacing/>
              <w:jc w:val="both"/>
              <w:rPr>
                <w:rFonts w:ascii="Arial" w:hAnsi="Arial"/>
                <w:sz w:val="18"/>
                <w:szCs w:val="18"/>
                <w:lang w:val="es-MX"/>
              </w:rPr>
            </w:pPr>
            <w:bookmarkStart w:id="0" w:name="_GoBack"/>
            <w:bookmarkEnd w:id="0"/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C064BF" w:rsidRPr="00F26C1F" w14:paraId="43386456" w14:textId="77777777" w:rsidTr="001B4A9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B0FF22" w14:textId="77777777" w:rsidR="00C064BF" w:rsidRPr="002E12FC" w:rsidRDefault="00C064BF" w:rsidP="00F26C1F">
                  <w:pPr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</w:pPr>
                  <w:r w:rsidRPr="002E12FC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JUSTIFICACIÓN</w:t>
                  </w:r>
                </w:p>
              </w:tc>
            </w:tr>
          </w:tbl>
          <w:p w14:paraId="5ECEC736" w14:textId="77777777" w:rsidR="0033598A" w:rsidRDefault="0033598A" w:rsidP="00F26C1F">
            <w:pPr>
              <w:contextualSpacing/>
              <w:jc w:val="both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  <w:p w14:paraId="656E1ECB" w14:textId="54962D84" w:rsidR="00C064BF" w:rsidRPr="004320B4" w:rsidRDefault="004320B4" w:rsidP="00F26C1F">
            <w:pPr>
              <w:contextualSpacing/>
              <w:jc w:val="both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320B4">
              <w:rPr>
                <w:rFonts w:ascii="Arial" w:hAnsi="Arial"/>
                <w:color w:val="000000" w:themeColor="text1"/>
                <w:sz w:val="18"/>
                <w:szCs w:val="18"/>
              </w:rPr>
              <w:t>Este indicador permi</w:t>
            </w:r>
            <w:r w:rsidR="003D6D8A">
              <w:rPr>
                <w:rFonts w:ascii="Arial" w:hAnsi="Arial"/>
                <w:color w:val="000000" w:themeColor="text1"/>
                <w:sz w:val="18"/>
                <w:szCs w:val="18"/>
              </w:rPr>
              <w:t>te medir la brecha de calidad de la</w:t>
            </w:r>
            <w:r w:rsidRPr="004320B4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infraestructura </w:t>
            </w:r>
            <w:r w:rsidR="009528EF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deportiva recreativa y </w:t>
            </w:r>
            <w:r w:rsidR="003D6D8A">
              <w:rPr>
                <w:rFonts w:ascii="Arial" w:hAnsi="Arial"/>
                <w:color w:val="000000" w:themeColor="text1"/>
                <w:sz w:val="18"/>
                <w:szCs w:val="18"/>
              </w:rPr>
              <w:t>recreativa del IPD y el CVH</w:t>
            </w:r>
            <w:r w:rsidR="009528EF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respectivamente</w:t>
            </w:r>
            <w:r w:rsidRPr="004320B4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, </w:t>
            </w:r>
            <w:r w:rsidRPr="004320B4">
              <w:rPr>
                <w:rFonts w:ascii="Arial" w:hAnsi="Arial"/>
                <w:sz w:val="18"/>
                <w:szCs w:val="18"/>
              </w:rPr>
              <w:t>y consiguientemente el cierre de esta brecha está vinculado directamente con la ejecución de proyectos de inversión, inversiones de optimización, de ampliación marginal, de reposición y de rehabilitación.</w:t>
            </w:r>
          </w:p>
          <w:p w14:paraId="3DBD4F1D" w14:textId="77777777" w:rsidR="0033598A" w:rsidRPr="00F26C1F" w:rsidRDefault="0033598A" w:rsidP="00F26C1F">
            <w:pPr>
              <w:contextualSpacing/>
              <w:jc w:val="both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C064BF" w:rsidRPr="00F26C1F" w14:paraId="37DD295B" w14:textId="77777777" w:rsidTr="001B4A9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A02CA2" w14:textId="77777777" w:rsidR="00C064BF" w:rsidRPr="002E12FC" w:rsidRDefault="00C064BF" w:rsidP="00F26C1F">
                  <w:pPr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</w:pPr>
                  <w:r w:rsidRPr="002E12FC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LIMITACIONES Y SUPUESTOS EMPLEADOS</w:t>
                  </w:r>
                </w:p>
              </w:tc>
            </w:tr>
          </w:tbl>
          <w:p w14:paraId="2290E5FA" w14:textId="77777777" w:rsidR="0033598A" w:rsidRPr="00BB5E2E" w:rsidRDefault="0033598A" w:rsidP="00BB5E2E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3A884E1E" w14:textId="236F6653" w:rsidR="00C064BF" w:rsidRDefault="00EB4802" w:rsidP="00BB5E2E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EB4802">
              <w:rPr>
                <w:rFonts w:ascii="Arial" w:hAnsi="Arial"/>
                <w:sz w:val="18"/>
                <w:szCs w:val="18"/>
              </w:rPr>
              <w:t xml:space="preserve">Pendiente, las limitaciones y supuestos empleados se identificarán cuando se </w:t>
            </w:r>
            <w:r>
              <w:rPr>
                <w:rFonts w:ascii="Arial" w:hAnsi="Arial"/>
                <w:sz w:val="18"/>
                <w:szCs w:val="18"/>
              </w:rPr>
              <w:t>calcule la línea base</w:t>
            </w:r>
          </w:p>
          <w:p w14:paraId="2E55F99A" w14:textId="77777777" w:rsidR="00EB4802" w:rsidRPr="00BB5E2E" w:rsidRDefault="00EB4802" w:rsidP="00BB5E2E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C064BF" w:rsidRPr="00F26C1F" w14:paraId="4B2D0553" w14:textId="77777777" w:rsidTr="0033598A">
              <w:trPr>
                <w:trHeight w:val="204"/>
              </w:trPr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29A85F" w14:textId="77777777" w:rsidR="00C064BF" w:rsidRPr="002E12FC" w:rsidRDefault="00C064BF" w:rsidP="00F26C1F">
                  <w:pPr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</w:pPr>
                  <w:r w:rsidRPr="002E12FC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PRECISIONES TÉCNICAS</w:t>
                  </w:r>
                </w:p>
              </w:tc>
            </w:tr>
          </w:tbl>
          <w:p w14:paraId="0CC76B3B" w14:textId="33AC5FCC" w:rsidR="00C064BF" w:rsidRDefault="00C064BF" w:rsidP="00D85E18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03B5335B" w14:textId="74457803" w:rsidR="00EB4802" w:rsidRDefault="00EB4802" w:rsidP="00D85E18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EB4802">
              <w:rPr>
                <w:rFonts w:ascii="Arial" w:hAnsi="Arial"/>
                <w:sz w:val="18"/>
                <w:szCs w:val="18"/>
              </w:rPr>
              <w:t xml:space="preserve">Pendiente, las precisiones técnicas se identificarán </w:t>
            </w:r>
            <w:r>
              <w:rPr>
                <w:rFonts w:ascii="Arial" w:hAnsi="Arial"/>
                <w:sz w:val="18"/>
                <w:szCs w:val="18"/>
              </w:rPr>
              <w:t>cuando se calcule la línea base</w:t>
            </w:r>
          </w:p>
          <w:p w14:paraId="7284CDCF" w14:textId="77777777" w:rsidR="00BB5E2E" w:rsidRPr="00D85E18" w:rsidRDefault="00BB5E2E" w:rsidP="00D85E18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C064BF" w:rsidRPr="00F26C1F" w14:paraId="3F49DC33" w14:textId="77777777" w:rsidTr="001B4A9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697F6A" w14:textId="77777777" w:rsidR="00C064BF" w:rsidRPr="002E12FC" w:rsidRDefault="00C064BF" w:rsidP="00F26C1F">
                  <w:pPr>
                    <w:keepNext/>
                    <w:contextualSpacing/>
                    <w:jc w:val="both"/>
                    <w:rPr>
                      <w:rFonts w:ascii="Arial" w:hAnsi="Arial"/>
                      <w:b/>
                      <w:bCs/>
                      <w:color w:val="1F3864" w:themeColor="accent5" w:themeShade="80"/>
                      <w:sz w:val="20"/>
                      <w:szCs w:val="18"/>
                      <w:lang w:val="es-MX"/>
                    </w:rPr>
                  </w:pPr>
                  <w:r w:rsidRPr="002E12FC">
                    <w:rPr>
                      <w:rFonts w:ascii="Arial" w:hAnsi="Arial"/>
                      <w:b/>
                      <w:bCs/>
                      <w:color w:val="FFFFFF" w:themeColor="background1"/>
                      <w:sz w:val="20"/>
                      <w:szCs w:val="18"/>
                      <w:lang w:val="es-MX"/>
                    </w:rPr>
                    <w:t>MÉTODO DE CÁLCULO</w:t>
                  </w:r>
                </w:p>
              </w:tc>
            </w:tr>
          </w:tbl>
          <w:p w14:paraId="73EFD980" w14:textId="77777777" w:rsidR="0033598A" w:rsidRDefault="0033598A" w:rsidP="00EB4802">
            <w:pPr>
              <w:spacing w:after="0"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50B2BC55" w14:textId="77777777" w:rsidR="0033598A" w:rsidRDefault="0033598A" w:rsidP="00EB4802">
            <w:pPr>
              <w:spacing w:after="0"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CF4A7D">
              <w:rPr>
                <w:rFonts w:ascii="Arial" w:hAnsi="Arial"/>
                <w:sz w:val="18"/>
                <w:szCs w:val="18"/>
              </w:rPr>
              <w:t>Para efectos de cálculo el indicador, esta será medida de la siguiente forma:</w:t>
            </w:r>
          </w:p>
          <w:p w14:paraId="0ABB5B85" w14:textId="77777777" w:rsidR="0033598A" w:rsidRPr="00EB4802" w:rsidRDefault="0033598A" w:rsidP="00EB4802">
            <w:pPr>
              <w:spacing w:after="0" w:line="240" w:lineRule="auto"/>
              <w:contextualSpacing/>
              <w:rPr>
                <w:rFonts w:ascii="Arial" w:hAnsi="Arial"/>
                <w:sz w:val="18"/>
                <w:szCs w:val="24"/>
                <w:lang w:val="es-PE"/>
              </w:rPr>
            </w:pPr>
          </w:p>
          <w:p w14:paraId="2096BE8F" w14:textId="418AF3E2" w:rsidR="00041C3B" w:rsidRPr="00EB4802" w:rsidRDefault="00805C37" w:rsidP="00EB4802">
            <w:pPr>
              <w:spacing w:after="0" w:line="240" w:lineRule="auto"/>
              <w:contextualSpacing/>
              <w:jc w:val="center"/>
              <w:rPr>
                <w:rFonts w:ascii="Arial" w:eastAsiaTheme="minorEastAsia" w:hAnsi="Arial"/>
                <w:i/>
                <w:sz w:val="18"/>
                <w:szCs w:val="18"/>
                <w:lang w:val="es-P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  <w:lang w:val="es-PE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es-PE"/>
                      </w:rPr>
                      <m:t>PIDRI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es-PE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  <w:lang w:val="es-PE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s-PE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s-PE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es-PE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s-PE"/>
                              </w:rPr>
                              <m:t>NIRI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s-PE"/>
                              </w:rPr>
                              <m:t>t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es-PE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s-PE"/>
                              </w:rPr>
                              <m:t>TIR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s-PE"/>
                              </w:rPr>
                              <m:t>t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  <w:lang w:val="es-PE"/>
                  </w:rPr>
                  <m:t>×100%</m:t>
                </m:r>
              </m:oMath>
            </m:oMathPara>
          </w:p>
          <w:p w14:paraId="5377EE6C" w14:textId="77777777" w:rsidR="0033598A" w:rsidRPr="00F26C1F" w:rsidRDefault="0033598A" w:rsidP="00EB4802">
            <w:pPr>
              <w:spacing w:after="0" w:line="240" w:lineRule="auto"/>
              <w:contextualSpacing/>
              <w:jc w:val="both"/>
              <w:rPr>
                <w:rFonts w:ascii="Arial" w:eastAsiaTheme="minorEastAsia" w:hAnsi="Arial"/>
                <w:sz w:val="18"/>
                <w:szCs w:val="18"/>
              </w:rPr>
            </w:pPr>
          </w:p>
          <w:p w14:paraId="5DBD1FDC" w14:textId="563B4285" w:rsidR="00C064BF" w:rsidRDefault="00805C37" w:rsidP="00EB4802">
            <w:pPr>
              <w:spacing w:after="0"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sz w:val="18"/>
                      <w:szCs w:val="18"/>
                      <w:lang w:val="es-PE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18"/>
                      <w:szCs w:val="18"/>
                      <w:lang w:val="es-PE"/>
                    </w:rPr>
                    <m:t>PIDRI</m:t>
                  </m:r>
                </m:e>
                <m:sub>
                  <m:r>
                    <w:rPr>
                      <w:rFonts w:ascii="Cambria Math" w:eastAsiaTheme="minorEastAsia" w:hAnsi="Cambria Math"/>
                      <w:sz w:val="18"/>
                      <w:szCs w:val="18"/>
                      <w:lang w:val="es-PE"/>
                    </w:rPr>
                    <m:t>t</m:t>
                  </m:r>
                </m:sub>
              </m:sSub>
            </m:oMath>
            <w:r w:rsidR="00C064BF" w:rsidRPr="00F26C1F">
              <w:rPr>
                <w:rFonts w:ascii="Arial" w:hAnsi="Arial"/>
                <w:sz w:val="18"/>
                <w:szCs w:val="18"/>
              </w:rPr>
              <w:t xml:space="preserve"> = Porcen</w:t>
            </w:r>
            <w:r w:rsidR="003D6D8A">
              <w:rPr>
                <w:rFonts w:ascii="Arial" w:hAnsi="Arial"/>
                <w:sz w:val="18"/>
                <w:szCs w:val="18"/>
              </w:rPr>
              <w:t>taje de instalaciones</w:t>
            </w:r>
            <w:r w:rsidR="009528EF">
              <w:rPr>
                <w:rFonts w:ascii="Arial" w:hAnsi="Arial"/>
                <w:sz w:val="18"/>
                <w:szCs w:val="18"/>
              </w:rPr>
              <w:t xml:space="preserve"> deportivas y/o</w:t>
            </w:r>
            <w:r w:rsidR="003D6D8A">
              <w:rPr>
                <w:rFonts w:ascii="Arial" w:hAnsi="Arial"/>
                <w:sz w:val="18"/>
                <w:szCs w:val="18"/>
              </w:rPr>
              <w:t xml:space="preserve"> recreativas en condiciones inadecuadas</w:t>
            </w:r>
            <w:r w:rsidR="00C064BF" w:rsidRPr="00F26C1F">
              <w:rPr>
                <w:rFonts w:ascii="Arial" w:hAnsi="Arial"/>
                <w:sz w:val="18"/>
                <w:szCs w:val="18"/>
              </w:rPr>
              <w:t xml:space="preserve"> a nivel nacional</w:t>
            </w:r>
            <w:r w:rsidR="003D6D8A">
              <w:rPr>
                <w:rFonts w:ascii="Arial" w:hAnsi="Arial"/>
                <w:sz w:val="18"/>
                <w:szCs w:val="18"/>
              </w:rPr>
              <w:t xml:space="preserve"> en el ti</w:t>
            </w:r>
            <w:r w:rsidR="0033598A">
              <w:rPr>
                <w:rFonts w:ascii="Arial" w:hAnsi="Arial"/>
                <w:sz w:val="18"/>
                <w:szCs w:val="18"/>
              </w:rPr>
              <w:t>empo t</w:t>
            </w:r>
            <w:r w:rsidR="00C064BF" w:rsidRPr="00F26C1F">
              <w:rPr>
                <w:rFonts w:ascii="Arial" w:hAnsi="Arial"/>
                <w:sz w:val="18"/>
                <w:szCs w:val="18"/>
              </w:rPr>
              <w:t>.</w:t>
            </w:r>
          </w:p>
          <w:p w14:paraId="02D8F0F2" w14:textId="77777777" w:rsidR="0033598A" w:rsidRPr="00F26C1F" w:rsidRDefault="0033598A" w:rsidP="00EB4802">
            <w:pPr>
              <w:spacing w:after="0"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3B7C1C55" w14:textId="3A73DC15" w:rsidR="00C064BF" w:rsidRDefault="00805C37" w:rsidP="00EB4802">
            <w:pPr>
              <w:spacing w:after="0"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sz w:val="18"/>
                      <w:szCs w:val="18"/>
                      <w:lang w:val="es-PE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18"/>
                      <w:szCs w:val="18"/>
                      <w:lang w:val="es-PE"/>
                    </w:rPr>
                    <m:t>NIDRI</m:t>
                  </m:r>
                </m:e>
                <m:sub>
                  <m:r>
                    <w:rPr>
                      <w:rFonts w:ascii="Cambria Math" w:eastAsiaTheme="minorEastAsia" w:hAnsi="Cambria Math"/>
                      <w:sz w:val="18"/>
                      <w:szCs w:val="18"/>
                      <w:lang w:val="es-PE"/>
                    </w:rPr>
                    <m:t>t</m:t>
                  </m:r>
                </m:sub>
              </m:sSub>
            </m:oMath>
            <w:r w:rsidR="00C064BF" w:rsidRPr="00F26C1F">
              <w:rPr>
                <w:rFonts w:ascii="Arial" w:hAnsi="Arial"/>
                <w:sz w:val="18"/>
                <w:szCs w:val="18"/>
              </w:rPr>
              <w:t xml:space="preserve"> = </w:t>
            </w:r>
            <w:r w:rsidR="003D6D8A" w:rsidRPr="00F26C1F">
              <w:rPr>
                <w:rFonts w:ascii="Arial" w:hAnsi="Arial"/>
                <w:sz w:val="18"/>
                <w:szCs w:val="18"/>
              </w:rPr>
              <w:t xml:space="preserve">Número de instalaciones </w:t>
            </w:r>
            <w:r w:rsidR="009528EF">
              <w:rPr>
                <w:rFonts w:ascii="Arial" w:hAnsi="Arial"/>
                <w:sz w:val="18"/>
                <w:szCs w:val="18"/>
              </w:rPr>
              <w:t xml:space="preserve">deportivas y/o </w:t>
            </w:r>
            <w:r w:rsidR="003D6D8A">
              <w:rPr>
                <w:rFonts w:ascii="Arial" w:hAnsi="Arial"/>
                <w:sz w:val="18"/>
                <w:szCs w:val="18"/>
              </w:rPr>
              <w:t xml:space="preserve">recreativas en </w:t>
            </w:r>
            <w:r w:rsidR="003D6D8A" w:rsidRPr="00F26C1F">
              <w:rPr>
                <w:rFonts w:ascii="Arial" w:hAnsi="Arial"/>
                <w:sz w:val="18"/>
                <w:szCs w:val="18"/>
              </w:rPr>
              <w:t xml:space="preserve">condiciones inadecuadas </w:t>
            </w:r>
            <w:r w:rsidR="003D6D8A">
              <w:rPr>
                <w:rFonts w:ascii="Arial" w:hAnsi="Arial"/>
                <w:sz w:val="18"/>
                <w:szCs w:val="18"/>
              </w:rPr>
              <w:t>en el tiempo t.</w:t>
            </w:r>
          </w:p>
          <w:p w14:paraId="57A02ECE" w14:textId="77777777" w:rsidR="0033598A" w:rsidRPr="00F26C1F" w:rsidRDefault="0033598A" w:rsidP="00EB4802">
            <w:pPr>
              <w:spacing w:after="0"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75916425" w14:textId="463BAC8A" w:rsidR="00C064BF" w:rsidRDefault="00805C37" w:rsidP="00EB4802">
            <w:pPr>
              <w:spacing w:after="0"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sz w:val="18"/>
                      <w:szCs w:val="18"/>
                      <w:lang w:val="es-PE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18"/>
                      <w:szCs w:val="18"/>
                      <w:lang w:val="es-PE"/>
                    </w:rPr>
                    <m:t>TIDR</m:t>
                  </m:r>
                </m:e>
                <m:sub>
                  <m:r>
                    <w:rPr>
                      <w:rFonts w:ascii="Cambria Math" w:eastAsiaTheme="minorEastAsia" w:hAnsi="Cambria Math"/>
                      <w:sz w:val="18"/>
                      <w:szCs w:val="18"/>
                      <w:lang w:val="es-PE"/>
                    </w:rPr>
                    <m:t>t</m:t>
                  </m:r>
                </m:sub>
              </m:sSub>
            </m:oMath>
            <w:r w:rsidR="00C064BF" w:rsidRPr="00F26C1F">
              <w:rPr>
                <w:rFonts w:ascii="Arial" w:hAnsi="Arial"/>
                <w:sz w:val="18"/>
                <w:szCs w:val="18"/>
              </w:rPr>
              <w:t xml:space="preserve"> =</w:t>
            </w:r>
            <w:r w:rsidR="003D6D8A" w:rsidRPr="00F26C1F">
              <w:rPr>
                <w:rFonts w:ascii="Arial" w:hAnsi="Arial"/>
                <w:sz w:val="18"/>
                <w:szCs w:val="18"/>
              </w:rPr>
              <w:t xml:space="preserve"> Total de instalaciones </w:t>
            </w:r>
            <w:r w:rsidR="009528EF">
              <w:rPr>
                <w:rFonts w:ascii="Arial" w:hAnsi="Arial"/>
                <w:sz w:val="18"/>
                <w:szCs w:val="18"/>
              </w:rPr>
              <w:t xml:space="preserve">deportivas y/o </w:t>
            </w:r>
            <w:r w:rsidR="003D6D8A">
              <w:rPr>
                <w:rFonts w:ascii="Arial" w:hAnsi="Arial"/>
                <w:sz w:val="18"/>
                <w:szCs w:val="18"/>
              </w:rPr>
              <w:t xml:space="preserve">recreativas en el tiempo </w:t>
            </w:r>
            <w:r w:rsidR="0033598A">
              <w:rPr>
                <w:rFonts w:ascii="Arial" w:hAnsi="Arial"/>
                <w:sz w:val="18"/>
                <w:szCs w:val="18"/>
              </w:rPr>
              <w:t>t</w:t>
            </w:r>
            <w:r w:rsidR="00C064BF" w:rsidRPr="00F26C1F">
              <w:rPr>
                <w:rFonts w:ascii="Arial" w:hAnsi="Arial"/>
                <w:sz w:val="18"/>
                <w:szCs w:val="18"/>
              </w:rPr>
              <w:t>.</w:t>
            </w:r>
          </w:p>
          <w:p w14:paraId="5F421569" w14:textId="77777777" w:rsidR="00E96762" w:rsidRPr="00F26C1F" w:rsidRDefault="00E96762" w:rsidP="00EB4802">
            <w:pPr>
              <w:spacing w:after="0" w:line="240" w:lineRule="auto"/>
              <w:contextualSpacing/>
              <w:jc w:val="both"/>
              <w:rPr>
                <w:rFonts w:ascii="Arial" w:hAnsi="Arial"/>
                <w:color w:val="1F3864" w:themeColor="accent5" w:themeShade="80"/>
                <w:sz w:val="18"/>
                <w:szCs w:val="18"/>
                <w:lang w:val="es-P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C064BF" w:rsidRPr="00F26C1F" w14:paraId="74EC9E56" w14:textId="77777777" w:rsidTr="001B4A9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BBE928" w14:textId="77777777" w:rsidR="00C064BF" w:rsidRPr="002E12FC" w:rsidRDefault="00C064BF" w:rsidP="00F26C1F">
                  <w:pPr>
                    <w:contextualSpacing/>
                    <w:jc w:val="both"/>
                    <w:rPr>
                      <w:rFonts w:ascii="Arial" w:hAnsi="Arial"/>
                      <w:b/>
                      <w:bCs/>
                      <w:color w:val="1F3864" w:themeColor="accent5" w:themeShade="80"/>
                      <w:sz w:val="20"/>
                      <w:szCs w:val="18"/>
                      <w:lang w:val="es-MX"/>
                    </w:rPr>
                  </w:pPr>
                  <w:r w:rsidRPr="002E12FC">
                    <w:rPr>
                      <w:rFonts w:ascii="Arial" w:hAnsi="Arial"/>
                      <w:b/>
                      <w:bCs/>
                      <w:color w:val="FFFFFF" w:themeColor="background1"/>
                      <w:sz w:val="20"/>
                      <w:szCs w:val="18"/>
                      <w:lang w:val="es-MX"/>
                    </w:rPr>
                    <w:t>PERIODICIDAD DE LAS MEDICIONES</w:t>
                  </w:r>
                </w:p>
              </w:tc>
            </w:tr>
          </w:tbl>
          <w:p w14:paraId="3B0286DE" w14:textId="77777777" w:rsidR="0033598A" w:rsidRDefault="0033598A" w:rsidP="00EB4802">
            <w:pPr>
              <w:spacing w:after="0" w:line="240" w:lineRule="auto"/>
              <w:ind w:left="360" w:hanging="360"/>
              <w:contextualSpacing/>
              <w:jc w:val="both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  <w:p w14:paraId="1E30B609" w14:textId="77777777" w:rsidR="00412881" w:rsidRDefault="00412881" w:rsidP="00EB480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7F5C1E">
              <w:rPr>
                <w:rFonts w:ascii="Arial" w:hAnsi="Arial"/>
                <w:sz w:val="18"/>
                <w:szCs w:val="18"/>
              </w:rPr>
              <w:t>Pendiente</w:t>
            </w:r>
            <w:r>
              <w:rPr>
                <w:rFonts w:ascii="Arial" w:hAnsi="Arial"/>
                <w:sz w:val="18"/>
                <w:szCs w:val="18"/>
              </w:rPr>
              <w:t>, debido a la falta de bases de datos que permita realizar los cálculos del indicador</w:t>
            </w:r>
          </w:p>
          <w:p w14:paraId="6AFCC01F" w14:textId="77777777" w:rsidR="0033598A" w:rsidRPr="00F26C1F" w:rsidRDefault="0033598A" w:rsidP="00EB4802">
            <w:pPr>
              <w:spacing w:after="0" w:line="240" w:lineRule="auto"/>
              <w:ind w:left="360" w:hanging="360"/>
              <w:contextualSpacing/>
              <w:jc w:val="both"/>
              <w:rPr>
                <w:rFonts w:ascii="Arial" w:hAnsi="Arial"/>
                <w:color w:val="1F3864" w:themeColor="accent5" w:themeShade="80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C064BF" w:rsidRPr="00F26C1F" w14:paraId="553A7F6A" w14:textId="77777777" w:rsidTr="001B4A9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F91F82" w14:textId="77777777" w:rsidR="00C064BF" w:rsidRPr="002E12FC" w:rsidRDefault="00C064BF" w:rsidP="00F26C1F">
                  <w:pPr>
                    <w:contextualSpacing/>
                    <w:jc w:val="both"/>
                    <w:rPr>
                      <w:rFonts w:ascii="Arial" w:hAnsi="Arial"/>
                      <w:b/>
                      <w:bCs/>
                      <w:color w:val="1F3864" w:themeColor="accent5" w:themeShade="80"/>
                      <w:sz w:val="20"/>
                      <w:szCs w:val="18"/>
                      <w:lang w:val="es-MX"/>
                    </w:rPr>
                  </w:pPr>
                  <w:r w:rsidRPr="002E12FC">
                    <w:rPr>
                      <w:rFonts w:ascii="Arial" w:hAnsi="Arial"/>
                      <w:color w:val="1F3864" w:themeColor="accent5" w:themeShade="80"/>
                      <w:sz w:val="20"/>
                      <w:szCs w:val="18"/>
                    </w:rPr>
                    <w:br w:type="page"/>
                  </w:r>
                  <w:r w:rsidRPr="002E12FC">
                    <w:rPr>
                      <w:rFonts w:ascii="Arial" w:hAnsi="Arial"/>
                      <w:b/>
                      <w:bCs/>
                      <w:color w:val="FFFFFF" w:themeColor="background1"/>
                      <w:sz w:val="20"/>
                      <w:szCs w:val="18"/>
                      <w:lang w:val="es-MX"/>
                    </w:rPr>
                    <w:t>FUENTE DE DATOS</w:t>
                  </w:r>
                </w:p>
              </w:tc>
            </w:tr>
          </w:tbl>
          <w:p w14:paraId="7943BF16" w14:textId="77777777" w:rsidR="00C064BF" w:rsidRDefault="00C064BF" w:rsidP="00EB4802">
            <w:pPr>
              <w:spacing w:after="0"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4DC4293F" w14:textId="77777777" w:rsidR="00412881" w:rsidRDefault="00412881" w:rsidP="00EB480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7F5C1E">
              <w:rPr>
                <w:rFonts w:ascii="Arial" w:hAnsi="Arial"/>
                <w:sz w:val="18"/>
                <w:szCs w:val="18"/>
              </w:rPr>
              <w:t>Pendiente</w:t>
            </w:r>
            <w:r>
              <w:rPr>
                <w:rFonts w:ascii="Arial" w:hAnsi="Arial"/>
                <w:sz w:val="18"/>
                <w:szCs w:val="18"/>
              </w:rPr>
              <w:t>, debido a la falta de bases de datos que permita realizar los cálculos del indicador</w:t>
            </w:r>
          </w:p>
          <w:p w14:paraId="0468810C" w14:textId="77777777" w:rsidR="00BB5E2E" w:rsidRPr="00412881" w:rsidRDefault="00BB5E2E" w:rsidP="00EB4802">
            <w:pPr>
              <w:spacing w:after="0" w:line="240" w:lineRule="auto"/>
              <w:contextualSpacing/>
              <w:jc w:val="both"/>
              <w:rPr>
                <w:rFonts w:ascii="Arial" w:hAnsi="Arial"/>
                <w:iCs/>
                <w:color w:val="1F3864" w:themeColor="accent5" w:themeShade="80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C064BF" w:rsidRPr="00F26C1F" w14:paraId="15B86BB5" w14:textId="77777777" w:rsidTr="001B4A9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06AA1A" w14:textId="77777777" w:rsidR="00C064BF" w:rsidRPr="002E12FC" w:rsidRDefault="00C064BF" w:rsidP="00F26C1F">
                  <w:pPr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</w:pPr>
                  <w:r w:rsidRPr="002E12FC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BASE DE DATOS</w:t>
                  </w:r>
                </w:p>
              </w:tc>
            </w:tr>
          </w:tbl>
          <w:p w14:paraId="5F08C470" w14:textId="66684E2F" w:rsidR="00C064BF" w:rsidRPr="00BB5E2E" w:rsidRDefault="00C064BF" w:rsidP="00EB4802">
            <w:pPr>
              <w:spacing w:after="0" w:line="240" w:lineRule="auto"/>
              <w:jc w:val="both"/>
              <w:rPr>
                <w:rStyle w:val="Hipervnculo"/>
                <w:rFonts w:ascii="Arial" w:hAnsi="Arial"/>
                <w:color w:val="auto"/>
                <w:sz w:val="18"/>
                <w:szCs w:val="18"/>
                <w:lang w:val="es-MX"/>
              </w:rPr>
            </w:pPr>
          </w:p>
          <w:p w14:paraId="796F35A4" w14:textId="77777777" w:rsidR="00412881" w:rsidRDefault="00412881" w:rsidP="00EB480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7F5C1E">
              <w:rPr>
                <w:rFonts w:ascii="Arial" w:hAnsi="Arial"/>
                <w:sz w:val="18"/>
                <w:szCs w:val="18"/>
              </w:rPr>
              <w:t>Pendiente</w:t>
            </w:r>
            <w:r>
              <w:rPr>
                <w:rFonts w:ascii="Arial" w:hAnsi="Arial"/>
                <w:sz w:val="18"/>
                <w:szCs w:val="18"/>
              </w:rPr>
              <w:t>, debido a la falta de bases de datos que permita realizar los cálculos del indicador</w:t>
            </w:r>
          </w:p>
          <w:p w14:paraId="0BECE03F" w14:textId="77777777" w:rsidR="00BB5E2E" w:rsidRPr="00412881" w:rsidRDefault="00BB5E2E" w:rsidP="00EB4802">
            <w:pPr>
              <w:spacing w:after="0" w:line="240" w:lineRule="auto"/>
              <w:jc w:val="both"/>
              <w:rPr>
                <w:rFonts w:ascii="Arial" w:hAnsi="Arial"/>
                <w:iCs/>
                <w:color w:val="1F3864" w:themeColor="accent5" w:themeShade="80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C064BF" w:rsidRPr="00F26C1F" w14:paraId="6DAFFC87" w14:textId="77777777" w:rsidTr="001B4A9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A7F006" w14:textId="77777777" w:rsidR="00C064BF" w:rsidRPr="002E12FC" w:rsidRDefault="00C064BF" w:rsidP="00F26C1F">
                  <w:pPr>
                    <w:contextualSpacing/>
                    <w:jc w:val="both"/>
                    <w:rPr>
                      <w:rFonts w:ascii="Arial" w:hAnsi="Arial"/>
                      <w:b/>
                      <w:bCs/>
                      <w:color w:val="1F3864" w:themeColor="accent5" w:themeShade="80"/>
                      <w:sz w:val="20"/>
                      <w:szCs w:val="18"/>
                      <w:lang w:val="es-MX"/>
                    </w:rPr>
                  </w:pPr>
                  <w:r w:rsidRPr="002E12FC">
                    <w:rPr>
                      <w:rFonts w:ascii="Arial" w:hAnsi="Arial"/>
                      <w:b/>
                      <w:bCs/>
                      <w:color w:val="FFFFFF" w:themeColor="background1"/>
                      <w:sz w:val="20"/>
                      <w:szCs w:val="18"/>
                      <w:lang w:val="es-MX"/>
                    </w:rPr>
                    <w:t>INSTRUMENTO DE RECOLECCIÓN DE INFORMACIÓN</w:t>
                  </w:r>
                </w:p>
              </w:tc>
            </w:tr>
          </w:tbl>
          <w:p w14:paraId="06EF4A18" w14:textId="77777777" w:rsidR="0033598A" w:rsidRDefault="0033598A" w:rsidP="00EB4802">
            <w:pPr>
              <w:spacing w:after="0"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3A69DA07" w14:textId="77777777" w:rsidR="00412881" w:rsidRDefault="00412881" w:rsidP="00EB480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7F5C1E">
              <w:rPr>
                <w:rFonts w:ascii="Arial" w:hAnsi="Arial"/>
                <w:sz w:val="18"/>
                <w:szCs w:val="18"/>
              </w:rPr>
              <w:t>Pendiente</w:t>
            </w:r>
            <w:r>
              <w:rPr>
                <w:rFonts w:ascii="Arial" w:hAnsi="Arial"/>
                <w:sz w:val="18"/>
                <w:szCs w:val="18"/>
              </w:rPr>
              <w:t>, debido a la falta de bases de datos que permita realizar los cálculos del indicador</w:t>
            </w:r>
          </w:p>
          <w:p w14:paraId="1377CBE5" w14:textId="7B2CF63C" w:rsidR="00C064BF" w:rsidRPr="00F26C1F" w:rsidRDefault="00C064BF" w:rsidP="00EB4802">
            <w:pPr>
              <w:spacing w:after="0" w:line="240" w:lineRule="auto"/>
              <w:contextualSpacing/>
              <w:jc w:val="both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C064BF" w:rsidRPr="00F26C1F" w14:paraId="250B056F" w14:textId="77777777" w:rsidTr="001B4A9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D5C59D" w14:textId="77777777" w:rsidR="00C064BF" w:rsidRPr="00F26C1F" w:rsidRDefault="00C064BF" w:rsidP="00F26C1F">
                  <w:pPr>
                    <w:contextualSpacing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2E12FC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SINTAXIS</w:t>
                  </w:r>
                </w:p>
              </w:tc>
            </w:tr>
          </w:tbl>
          <w:p w14:paraId="32DC2E4B" w14:textId="77777777" w:rsidR="00C064BF" w:rsidRDefault="00C064BF" w:rsidP="00EB4802">
            <w:pPr>
              <w:spacing w:after="0"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09DE055B" w14:textId="77777777" w:rsidR="00412881" w:rsidRDefault="00412881" w:rsidP="00EB480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7F5C1E">
              <w:rPr>
                <w:rFonts w:ascii="Arial" w:hAnsi="Arial"/>
                <w:sz w:val="18"/>
                <w:szCs w:val="18"/>
              </w:rPr>
              <w:t>Pendiente</w:t>
            </w:r>
            <w:r>
              <w:rPr>
                <w:rFonts w:ascii="Arial" w:hAnsi="Arial"/>
                <w:sz w:val="18"/>
                <w:szCs w:val="18"/>
              </w:rPr>
              <w:t>, debido a la falta de bases de datos que permita realizar los cálculos del indicador</w:t>
            </w:r>
          </w:p>
          <w:p w14:paraId="43E8CB36" w14:textId="77777777" w:rsidR="00C064BF" w:rsidRPr="00F26C1F" w:rsidRDefault="00C064BF" w:rsidP="00F26C1F">
            <w:pPr>
              <w:spacing w:after="0"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339079E2" w14:textId="19637827" w:rsidR="00F13366" w:rsidRPr="00F26C1F" w:rsidRDefault="00805C37" w:rsidP="00F26C1F">
      <w:pPr>
        <w:contextualSpacing/>
        <w:rPr>
          <w:rFonts w:ascii="Arial" w:hAnsi="Arial"/>
          <w:sz w:val="18"/>
          <w:szCs w:val="18"/>
        </w:rPr>
      </w:pPr>
    </w:p>
    <w:sectPr w:rsidR="00F13366" w:rsidRPr="00F26C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44E25"/>
    <w:multiLevelType w:val="hybridMultilevel"/>
    <w:tmpl w:val="50A2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11442"/>
    <w:multiLevelType w:val="hybridMultilevel"/>
    <w:tmpl w:val="0DFAA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30461"/>
    <w:multiLevelType w:val="hybridMultilevel"/>
    <w:tmpl w:val="C596B088"/>
    <w:lvl w:ilvl="0" w:tplc="E4763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C2BCE"/>
    <w:multiLevelType w:val="hybridMultilevel"/>
    <w:tmpl w:val="92A2E632"/>
    <w:lvl w:ilvl="0" w:tplc="2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D87D8E"/>
    <w:multiLevelType w:val="hybridMultilevel"/>
    <w:tmpl w:val="F2820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B3ED6"/>
    <w:multiLevelType w:val="hybridMultilevel"/>
    <w:tmpl w:val="BD1C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94A66"/>
    <w:multiLevelType w:val="hybridMultilevel"/>
    <w:tmpl w:val="BFF49CB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75A25"/>
    <w:multiLevelType w:val="hybridMultilevel"/>
    <w:tmpl w:val="27AC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7C4DD2"/>
    <w:multiLevelType w:val="hybridMultilevel"/>
    <w:tmpl w:val="75443DA0"/>
    <w:lvl w:ilvl="0" w:tplc="42563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5D"/>
    <w:rsid w:val="00014E19"/>
    <w:rsid w:val="0003005D"/>
    <w:rsid w:val="00041C3B"/>
    <w:rsid w:val="0009204F"/>
    <w:rsid w:val="0009785B"/>
    <w:rsid w:val="000E1EFB"/>
    <w:rsid w:val="000F614D"/>
    <w:rsid w:val="001412B7"/>
    <w:rsid w:val="00152068"/>
    <w:rsid w:val="001B0817"/>
    <w:rsid w:val="001E519F"/>
    <w:rsid w:val="00241365"/>
    <w:rsid w:val="002715B2"/>
    <w:rsid w:val="00290D53"/>
    <w:rsid w:val="002C0D42"/>
    <w:rsid w:val="002E12FC"/>
    <w:rsid w:val="0033598A"/>
    <w:rsid w:val="00342F7B"/>
    <w:rsid w:val="00347E20"/>
    <w:rsid w:val="003816C3"/>
    <w:rsid w:val="003D6D8A"/>
    <w:rsid w:val="00406A8A"/>
    <w:rsid w:val="00412881"/>
    <w:rsid w:val="004320B4"/>
    <w:rsid w:val="004501D2"/>
    <w:rsid w:val="004B5E6F"/>
    <w:rsid w:val="005424F4"/>
    <w:rsid w:val="00554891"/>
    <w:rsid w:val="006020EA"/>
    <w:rsid w:val="00636021"/>
    <w:rsid w:val="006C3CFC"/>
    <w:rsid w:val="00755275"/>
    <w:rsid w:val="007A7274"/>
    <w:rsid w:val="007B508A"/>
    <w:rsid w:val="007B52DB"/>
    <w:rsid w:val="007B6F2C"/>
    <w:rsid w:val="00805C37"/>
    <w:rsid w:val="0082535D"/>
    <w:rsid w:val="00882222"/>
    <w:rsid w:val="00882B72"/>
    <w:rsid w:val="008E357B"/>
    <w:rsid w:val="00940188"/>
    <w:rsid w:val="009528EF"/>
    <w:rsid w:val="009E1003"/>
    <w:rsid w:val="00A908F6"/>
    <w:rsid w:val="00AB7631"/>
    <w:rsid w:val="00B32497"/>
    <w:rsid w:val="00B450CF"/>
    <w:rsid w:val="00BB5E2E"/>
    <w:rsid w:val="00BC32F5"/>
    <w:rsid w:val="00C064BF"/>
    <w:rsid w:val="00C73D1D"/>
    <w:rsid w:val="00C81F86"/>
    <w:rsid w:val="00CB1282"/>
    <w:rsid w:val="00D002C0"/>
    <w:rsid w:val="00D05B13"/>
    <w:rsid w:val="00D1236D"/>
    <w:rsid w:val="00D63EE2"/>
    <w:rsid w:val="00D85E18"/>
    <w:rsid w:val="00DA3AB4"/>
    <w:rsid w:val="00DF58A1"/>
    <w:rsid w:val="00E521EC"/>
    <w:rsid w:val="00E670BB"/>
    <w:rsid w:val="00E75412"/>
    <w:rsid w:val="00E83BEE"/>
    <w:rsid w:val="00E96762"/>
    <w:rsid w:val="00E97C37"/>
    <w:rsid w:val="00EB4802"/>
    <w:rsid w:val="00F26C1F"/>
    <w:rsid w:val="00F4428B"/>
    <w:rsid w:val="00F66397"/>
    <w:rsid w:val="00F8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351B4"/>
  <w15:chartTrackingRefBased/>
  <w15:docId w15:val="{523D13B2-1A5E-49EA-8EB3-73732A7C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4BF"/>
    <w:rPr>
      <w:rFonts w:ascii="Calibri" w:eastAsia="Calibri" w:hAnsi="Calibri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,SubPárrafo de lista,TITULO A,Titulo de Fígura,Conclusiones,paul2,Cuadro 2-1,Iz - Párrafo de lista,Sivsa Parrafo"/>
    <w:basedOn w:val="Normal"/>
    <w:link w:val="PrrafodelistaCar"/>
    <w:uiPriority w:val="34"/>
    <w:qFormat/>
    <w:rsid w:val="00C064BF"/>
    <w:pPr>
      <w:ind w:left="720"/>
      <w:contextualSpacing/>
    </w:pPr>
  </w:style>
  <w:style w:type="character" w:styleId="Hipervnculo">
    <w:name w:val="Hyperlink"/>
    <w:uiPriority w:val="99"/>
    <w:unhideWhenUsed/>
    <w:rsid w:val="00C064BF"/>
    <w:rPr>
      <w:color w:val="0563C1"/>
      <w:u w:val="single"/>
    </w:rPr>
  </w:style>
  <w:style w:type="paragraph" w:customStyle="1" w:styleId="Prrafodelista1">
    <w:name w:val="Párrafo de lista1"/>
    <w:basedOn w:val="Normal"/>
    <w:uiPriority w:val="99"/>
    <w:qFormat/>
    <w:rsid w:val="00C064BF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customStyle="1" w:styleId="PrrafodelistaCar">
    <w:name w:val="Párrafo de lista Car"/>
    <w:aliases w:val="Bulleted List Car,Fundamentacion Car,SubPárrafo de lista Car,TITULO A Car,Titulo de Fígura Car,Conclusiones Car,paul2 Car,Cuadro 2-1 Car,Iz - Párrafo de lista Car,Sivsa Parrafo Car"/>
    <w:link w:val="Prrafodelista"/>
    <w:uiPriority w:val="34"/>
    <w:locked/>
    <w:rsid w:val="00C064BF"/>
    <w:rPr>
      <w:rFonts w:ascii="Calibri" w:eastAsia="Calibri" w:hAnsi="Calibri" w:cs="Arial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978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785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785B"/>
    <w:rPr>
      <w:rFonts w:ascii="Calibri" w:eastAsia="Calibri" w:hAnsi="Calibri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78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785B"/>
    <w:rPr>
      <w:rFonts w:ascii="Calibri" w:eastAsia="Calibri" w:hAnsi="Calibri" w:cs="Arial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7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85B"/>
    <w:rPr>
      <w:rFonts w:ascii="Segoe UI" w:eastAsia="Calibri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041C3B"/>
    <w:pPr>
      <w:spacing w:after="0" w:line="240" w:lineRule="auto"/>
    </w:pPr>
    <w:rPr>
      <w:rFonts w:ascii="Calibri" w:eastAsia="Calibri" w:hAnsi="Calibri" w:cs="Arial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3917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DANIEL MENDOZA BARRANTES</dc:creator>
  <cp:keywords/>
  <dc:description/>
  <cp:lastModifiedBy>PAULO DANIEL MENDOZA BARRANTES</cp:lastModifiedBy>
  <cp:revision>2</cp:revision>
  <dcterms:created xsi:type="dcterms:W3CDTF">2019-02-15T19:42:00Z</dcterms:created>
  <dcterms:modified xsi:type="dcterms:W3CDTF">2019-02-15T19:42:00Z</dcterms:modified>
</cp:coreProperties>
</file>