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5E09" w14:textId="6BB613C2" w:rsidR="00E34EF3" w:rsidRPr="002F3B0C" w:rsidRDefault="00A507F4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I</w:t>
      </w:r>
      <w:r w:rsidR="00357486">
        <w:rPr>
          <w:rFonts w:ascii="Arial" w:hAnsi="Arial"/>
          <w:b/>
          <w:sz w:val="28"/>
          <w:szCs w:val="28"/>
        </w:rPr>
        <w:t>NDICADOR</w:t>
      </w:r>
      <w:r w:rsidR="00416A95">
        <w:rPr>
          <w:rFonts w:ascii="Arial" w:hAnsi="Arial"/>
          <w:b/>
          <w:sz w:val="28"/>
          <w:szCs w:val="28"/>
        </w:rPr>
        <w:t xml:space="preserve"> 24</w:t>
      </w:r>
      <w:r w:rsidR="005D4759" w:rsidRPr="002F3B0C">
        <w:rPr>
          <w:rFonts w:ascii="Arial" w:hAnsi="Arial"/>
          <w:b/>
          <w:sz w:val="28"/>
          <w:szCs w:val="28"/>
        </w:rPr>
        <w:t>:</w:t>
      </w:r>
      <w:r w:rsidR="005D4759" w:rsidRPr="002F3B0C">
        <w:rPr>
          <w:rFonts w:ascii="Arial" w:hAnsi="Arial"/>
          <w:b/>
          <w:sz w:val="20"/>
          <w:szCs w:val="20"/>
        </w:rPr>
        <w:t xml:space="preserve"> </w:t>
      </w:r>
      <w:r w:rsidR="00895334" w:rsidRPr="00895334">
        <w:rPr>
          <w:rFonts w:ascii="Arial" w:hAnsi="Arial"/>
          <w:bCs/>
          <w:sz w:val="20"/>
          <w:szCs w:val="20"/>
        </w:rPr>
        <w:t>Porcentaje de Institutos de Investigación e innovación de universidades públicas que cuentan con capacidad instalada inadecuada</w:t>
      </w:r>
    </w:p>
    <w:p w14:paraId="705EABBD" w14:textId="77777777" w:rsidR="00D05FEA" w:rsidRPr="002F3B0C" w:rsidRDefault="00D05FEA" w:rsidP="00357486">
      <w:p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657"/>
      </w:tblGrid>
      <w:tr w:rsidR="00E34EF3" w:rsidRPr="002F3B0C" w14:paraId="3690A4F0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F6F5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B7EC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F3B0C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E34EF3" w:rsidRPr="002F3B0C" w14:paraId="2D6B8B92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5A9C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0131" w14:textId="133749ED" w:rsidR="00E34EF3" w:rsidRPr="002F3B0C" w:rsidRDefault="00895334" w:rsidP="00BA2EF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E34EF3" w:rsidRPr="002F3B0C" w14:paraId="7AAA4C7D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208E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AA1F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2F3B0C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E34EF3" w:rsidRPr="002F3B0C" w14:paraId="14202FB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4075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BBD1" w14:textId="332C1BE5" w:rsidR="00E34EF3" w:rsidRPr="002F3B0C" w:rsidRDefault="00895334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E34EF3" w:rsidRPr="002F3B0C" w14:paraId="2ABA9A34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7EAA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1627" w14:textId="2E802105" w:rsidR="00E34EF3" w:rsidRPr="002F3B0C" w:rsidRDefault="00895334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94F9A">
              <w:rPr>
                <w:rFonts w:ascii="Arial" w:hAnsi="Arial"/>
                <w:bCs/>
                <w:sz w:val="20"/>
                <w:szCs w:val="20"/>
              </w:rPr>
              <w:t>048 Educación Superior</w:t>
            </w:r>
          </w:p>
        </w:tc>
      </w:tr>
      <w:tr w:rsidR="00E34EF3" w:rsidRPr="002F3B0C" w14:paraId="6F3B10A2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9408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DA43" w14:textId="60D60A3F" w:rsidR="00E34EF3" w:rsidRPr="002F3B0C" w:rsidRDefault="00895334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0109 Educación Superior Universitaria</w:t>
            </w:r>
          </w:p>
        </w:tc>
      </w:tr>
      <w:tr w:rsidR="00E34EF3" w:rsidRPr="002F3B0C" w14:paraId="27836B7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DF4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115" w14:textId="29DBB428" w:rsidR="00E34EF3" w:rsidRPr="002F3B0C" w:rsidRDefault="00416A95" w:rsidP="00EE2BC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16A95">
              <w:rPr>
                <w:rFonts w:ascii="Arial" w:hAnsi="Arial"/>
                <w:bCs/>
                <w:sz w:val="20"/>
                <w:szCs w:val="20"/>
              </w:rPr>
              <w:t>Servicio de Investigación e Innovación en Educación Superior Universitaria</w:t>
            </w:r>
          </w:p>
        </w:tc>
      </w:tr>
      <w:tr w:rsidR="00E34EF3" w:rsidRPr="002F3B0C" w14:paraId="2484074F" w14:textId="77777777" w:rsidTr="00E34EF3">
        <w:trPr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AF2" w14:textId="77777777" w:rsidR="00E34EF3" w:rsidRPr="002F3B0C" w:rsidRDefault="00E34EF3" w:rsidP="00E34EF3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2F3B0C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EE84" w14:textId="7C2E129B" w:rsidR="00E34EF3" w:rsidRPr="002F3B0C" w:rsidRDefault="00416A95" w:rsidP="00E34EF3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416A95">
              <w:rPr>
                <w:rFonts w:ascii="Arial" w:hAnsi="Arial"/>
                <w:bCs/>
                <w:sz w:val="20"/>
                <w:szCs w:val="20"/>
              </w:rPr>
              <w:t>Investigación e Innovación en Educación Superior Universitaria</w:t>
            </w:r>
          </w:p>
        </w:tc>
      </w:tr>
    </w:tbl>
    <w:p w14:paraId="0CB390DA" w14:textId="77777777" w:rsidR="00596CE6" w:rsidRPr="002F3B0C" w:rsidRDefault="00596CE6" w:rsidP="00596CE6">
      <w:pPr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5D4759" w:rsidRPr="005A66DA" w14:paraId="3741AD56" w14:textId="77777777" w:rsidTr="00D046B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31A2657E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8B3B1" w14:textId="44EBC935" w:rsidR="00136088" w:rsidRPr="002F3B0C" w:rsidRDefault="00136088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3E1C6498" w14:textId="77777777" w:rsidR="00136088" w:rsidRPr="002F3B0C" w:rsidRDefault="00136088" w:rsidP="00097198">
            <w:p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190A7AD8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4C028B" w14:textId="317086B0" w:rsidR="001F043D" w:rsidRPr="002F3B0C" w:rsidRDefault="004D3FB2" w:rsidP="00097198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3B0C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1718BB70" w14:textId="77777777" w:rsidR="00097198" w:rsidRPr="002F3B0C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42177CF9" w14:textId="56FF8A1D" w:rsidR="00DC179E" w:rsidRPr="002F3B0C" w:rsidRDefault="00895334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895334">
              <w:rPr>
                <w:rFonts w:ascii="Arial" w:hAnsi="Arial"/>
                <w:bCs/>
                <w:sz w:val="20"/>
                <w:szCs w:val="20"/>
              </w:rPr>
              <w:t xml:space="preserve">Porcentaje de Institutos de Investigación e innovación de universidades públicas que cuentan con capacidad instalada inadecuada </w:t>
            </w:r>
            <w:r w:rsidR="008E4941">
              <w:rPr>
                <w:rFonts w:ascii="Arial" w:hAnsi="Arial"/>
                <w:bCs/>
                <w:sz w:val="20"/>
                <w:szCs w:val="20"/>
              </w:rPr>
              <w:t>(PI</w:t>
            </w:r>
            <w:r w:rsidR="00FC7480">
              <w:rPr>
                <w:rFonts w:ascii="Arial" w:hAnsi="Arial"/>
                <w:bCs/>
                <w:sz w:val="20"/>
                <w:szCs w:val="20"/>
              </w:rPr>
              <w:t>ICII)</w:t>
            </w:r>
          </w:p>
          <w:p w14:paraId="2ADB7AC0" w14:textId="77777777" w:rsidR="00097198" w:rsidRPr="002F3B0C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2A67D75D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22165" w14:textId="173F0A69" w:rsidR="00136088" w:rsidRPr="002F3B0C" w:rsidRDefault="004D3FB2" w:rsidP="00097198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2F3B0C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6CBDE30C" w14:textId="725A0941" w:rsidR="00D23A4E" w:rsidRPr="002F3B0C" w:rsidRDefault="00D23A4E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321F88E" w14:textId="1C0A5E9C" w:rsidR="009E57CC" w:rsidRPr="002F3B0C" w:rsidRDefault="00621237" w:rsidP="009E57CC">
            <w:pPr>
              <w:spacing w:after="120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Institutos de I</w:t>
            </w:r>
            <w:r w:rsidRPr="002F3B0C">
              <w:rPr>
                <w:rFonts w:ascii="Arial" w:hAnsi="Arial"/>
                <w:bCs/>
                <w:sz w:val="20"/>
                <w:szCs w:val="20"/>
              </w:rPr>
              <w:t xml:space="preserve">nvestigación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de gestión pública </w:t>
            </w:r>
            <w:r w:rsidRPr="002F3B0C">
              <w:rPr>
                <w:rFonts w:ascii="Arial" w:hAnsi="Arial"/>
                <w:bCs/>
                <w:sz w:val="20"/>
                <w:szCs w:val="20"/>
              </w:rPr>
              <w:t xml:space="preserve">que cuentan </w:t>
            </w:r>
            <w:r>
              <w:rPr>
                <w:rFonts w:ascii="Arial" w:hAnsi="Arial"/>
                <w:bCs/>
                <w:sz w:val="20"/>
                <w:szCs w:val="20"/>
              </w:rPr>
              <w:t>con capacidad instalada adecuada.</w:t>
            </w:r>
          </w:p>
          <w:p w14:paraId="34426644" w14:textId="77777777" w:rsidR="009E57CC" w:rsidRPr="002F3B0C" w:rsidRDefault="009E57CC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10507EE0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C4283" w14:textId="687F1BA9" w:rsidR="00136088" w:rsidRPr="002F3B0C" w:rsidRDefault="00136088" w:rsidP="00097198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7B1FFE56" w14:textId="0C43383B" w:rsidR="00050F5B" w:rsidRPr="002F3B0C" w:rsidRDefault="00050F5B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6D1478" w14:textId="241F9DD7" w:rsidR="00D23A4E" w:rsidRPr="002F3B0C" w:rsidRDefault="001D0205" w:rsidP="009E57CC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>Universidades Nacionales (Gobierno Nacional)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49304FDE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6F060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5FBE6DDB" w14:textId="77777777" w:rsidR="00097198" w:rsidRPr="002F3B0C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98C44D" w14:textId="77777777" w:rsidR="009A489C" w:rsidRDefault="009A489C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DC7EE2E" w14:textId="54DC37C0" w:rsidR="00FC7480" w:rsidRDefault="009A489C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 cada Universidad pública es obligatoria la existencia de al menos un Instituto de Investigación, que incluye una o más Unidades de Investigación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FC7480">
              <w:rPr>
                <w:rFonts w:ascii="Arial" w:hAnsi="Arial"/>
                <w:sz w:val="20"/>
                <w:szCs w:val="20"/>
              </w:rPr>
              <w:t>La Unidad de Investigación, es la encargada de integrar las actividades de investigación de la Facultad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3"/>
            </w:r>
            <w:r w:rsidR="00FC7480">
              <w:rPr>
                <w:rFonts w:ascii="Arial" w:hAnsi="Arial"/>
                <w:sz w:val="20"/>
                <w:szCs w:val="20"/>
              </w:rPr>
              <w:t>.  La Investigación constituye una función esencial y obligatoria de la Universidad que la fomenta y realiza, respondiendo a través de la producción de conocimiento y desarrollo de tecnologías a las necesidades de la sociedad, con especial énfasis en la realidad nacional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4"/>
            </w:r>
            <w:r w:rsidR="00FC7480">
              <w:rPr>
                <w:rFonts w:ascii="Arial" w:hAnsi="Arial"/>
                <w:sz w:val="20"/>
                <w:szCs w:val="20"/>
              </w:rPr>
              <w:t>.</w:t>
            </w:r>
            <w:r w:rsidR="0094114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D4658B8" w14:textId="77777777" w:rsidR="004D68C4" w:rsidRDefault="004D68C4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854A3CC" w14:textId="504A1C01" w:rsidR="004D68C4" w:rsidRDefault="004D5151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Cabe señalar que</w:t>
            </w:r>
            <w:r w:rsidR="004D68C4">
              <w:rPr>
                <w:rFonts w:ascii="Arial" w:hAnsi="Arial"/>
                <w:sz w:val="20"/>
                <w:szCs w:val="20"/>
              </w:rPr>
              <w:t xml:space="preserve"> el concepto de generación de tecnologías comprende el desarrollo experimental, el cual consiste en trabajos creativos que aprovechan los conocimientos existentes  obtenidos en la investigación y/o la experiencia práctica para generar nuevo conocimiento dirigido  a la producción de nuevos productos o procesos</w:t>
            </w:r>
            <w:r w:rsidR="00545EE0">
              <w:rPr>
                <w:rFonts w:ascii="Arial" w:hAnsi="Arial"/>
                <w:sz w:val="20"/>
                <w:szCs w:val="20"/>
              </w:rPr>
              <w:t>,</w:t>
            </w:r>
            <w:r w:rsidR="004D68C4">
              <w:rPr>
                <w:rFonts w:ascii="Arial" w:hAnsi="Arial"/>
                <w:sz w:val="20"/>
                <w:szCs w:val="20"/>
              </w:rPr>
              <w:t xml:space="preserve"> o  la mejora de los ya existentes. Por otro lado, el concepto de la generación de conocimiento comprende a la investigación científica, los cuales buscan incrementar el volumen de conocimientos y la creación de nuevas aplicaciones del conocimiento disponible. (Manual de </w:t>
            </w:r>
            <w:proofErr w:type="spellStart"/>
            <w:r w:rsidR="004D68C4">
              <w:rPr>
                <w:rFonts w:ascii="Arial" w:hAnsi="Arial"/>
                <w:sz w:val="20"/>
                <w:szCs w:val="20"/>
              </w:rPr>
              <w:t>Frascati</w:t>
            </w:r>
            <w:proofErr w:type="spellEnd"/>
            <w:r w:rsidR="004D68C4">
              <w:rPr>
                <w:rFonts w:ascii="Arial" w:hAnsi="Arial"/>
                <w:sz w:val="20"/>
                <w:szCs w:val="20"/>
              </w:rPr>
              <w:t>, OCDE, 2015).</w:t>
            </w:r>
          </w:p>
          <w:p w14:paraId="1F7455A6" w14:textId="77777777" w:rsidR="00FC7480" w:rsidRDefault="00FC7480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2FA28B2" w14:textId="462133B2" w:rsidR="004D5151" w:rsidRDefault="004D5151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Cabe mencionar que los Centros e Institutos de Investigación</w:t>
            </w:r>
            <w:r w:rsidR="00A52CA3">
              <w:rPr>
                <w:rStyle w:val="Refdenotaalpie"/>
                <w:rFonts w:ascii="Arial" w:hAnsi="Arial"/>
                <w:sz w:val="20"/>
                <w:szCs w:val="20"/>
              </w:rPr>
              <w:footnoteReference w:id="5"/>
            </w:r>
            <w:r>
              <w:rPr>
                <w:rFonts w:ascii="Arial" w:hAnsi="Arial"/>
                <w:sz w:val="20"/>
                <w:szCs w:val="20"/>
              </w:rPr>
              <w:t xml:space="preserve"> constituyen la Unidad Productora de Servicios de Educación Superior Universitaria-Investigación, aprobada en la RM N° 508-2017-MINEDU.</w:t>
            </w:r>
          </w:p>
          <w:p w14:paraId="11F804EA" w14:textId="77777777" w:rsidR="004D5151" w:rsidRDefault="004D5151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D74CBF1" w14:textId="76FD7E25" w:rsidR="00DC179E" w:rsidRPr="002F3B0C" w:rsidRDefault="0042192A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Este indicador representa la relación que existe entre los </w:t>
            </w:r>
            <w:r>
              <w:rPr>
                <w:rFonts w:ascii="Arial" w:hAnsi="Arial"/>
                <w:bCs/>
                <w:sz w:val="20"/>
                <w:szCs w:val="20"/>
              </w:rPr>
              <w:t>Institutos y/o Centros de I</w:t>
            </w:r>
            <w:r w:rsidR="00E72712" w:rsidRPr="002F3B0C">
              <w:rPr>
                <w:rFonts w:ascii="Arial" w:hAnsi="Arial"/>
                <w:bCs/>
                <w:sz w:val="20"/>
                <w:szCs w:val="20"/>
              </w:rPr>
              <w:t>nvestigación</w:t>
            </w:r>
            <w:r w:rsidR="00EE2BC5" w:rsidRPr="002F3B0C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con capacidad instalada inadecuada respecto al total</w:t>
            </w:r>
            <w:r w:rsidR="00FF48CF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cuya función es la Investigación en las Universidades Públicas.</w:t>
            </w:r>
          </w:p>
          <w:p w14:paraId="3ABA1AE9" w14:textId="77777777" w:rsidR="00357486" w:rsidRDefault="00357486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5E54A54" w14:textId="5B514691" w:rsidR="0042192A" w:rsidRPr="00DC0E89" w:rsidRDefault="0042192A" w:rsidP="0042192A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 capacidad instalada se encuentra representada por los activos estratégicos de infraestructura que se utilizan en los Institutos y/o Centros de Investigación para brindar el servicio de Investigación como los espacios físicos, así como los activos estratégicos  </w:t>
            </w:r>
            <w:r w:rsidRPr="00177163">
              <w:rPr>
                <w:rFonts w:ascii="Arial" w:hAnsi="Arial"/>
                <w:bCs/>
                <w:sz w:val="20"/>
                <w:szCs w:val="20"/>
              </w:rPr>
              <w:t>del equipamiento y mobiliario.</w:t>
            </w:r>
          </w:p>
          <w:p w14:paraId="007450FA" w14:textId="77777777" w:rsidR="0042192A" w:rsidRDefault="0042192A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95325FF" w14:textId="77777777" w:rsidR="0042192A" w:rsidRPr="002F3B0C" w:rsidRDefault="0042192A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44D74C" w14:textId="07633EF7" w:rsidR="00292851" w:rsidRPr="002F3B0C" w:rsidRDefault="00DC179E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 xml:space="preserve">Entre los recursos de infraestructura </w:t>
            </w:r>
            <w:r w:rsidR="00E72712" w:rsidRPr="002F3B0C">
              <w:rPr>
                <w:rFonts w:ascii="Arial" w:hAnsi="Arial"/>
                <w:sz w:val="20"/>
                <w:szCs w:val="20"/>
              </w:rPr>
              <w:t>de las Institutos y/o centros de investigación</w:t>
            </w:r>
            <w:r w:rsidR="00830801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Pr="002F3B0C">
              <w:rPr>
                <w:rFonts w:ascii="Arial" w:hAnsi="Arial"/>
                <w:sz w:val="20"/>
                <w:szCs w:val="20"/>
              </w:rPr>
              <w:t xml:space="preserve">se hace mención a los siguientes: aulas, laboratorios, equipos e infraestructura de soporte de </w:t>
            </w:r>
            <w:proofErr w:type="spellStart"/>
            <w:r w:rsidRPr="002F3B0C">
              <w:rPr>
                <w:rFonts w:ascii="Arial" w:hAnsi="Arial"/>
                <w:sz w:val="20"/>
                <w:szCs w:val="20"/>
              </w:rPr>
              <w:t>TIC</w:t>
            </w:r>
            <w:r w:rsidR="00322817" w:rsidRPr="002F3B0C">
              <w:rPr>
                <w:rFonts w:ascii="Arial" w:hAnsi="Arial"/>
                <w:sz w:val="20"/>
                <w:szCs w:val="20"/>
              </w:rPr>
              <w:t>’</w:t>
            </w:r>
            <w:r w:rsidR="006A3CD5">
              <w:rPr>
                <w:rFonts w:ascii="Arial" w:hAnsi="Arial"/>
                <w:sz w:val="20"/>
                <w:szCs w:val="20"/>
              </w:rPr>
              <w:t>s</w:t>
            </w:r>
            <w:proofErr w:type="spellEnd"/>
            <w:r w:rsidR="006A3CD5">
              <w:rPr>
                <w:rFonts w:ascii="Arial" w:hAnsi="Arial"/>
                <w:sz w:val="20"/>
                <w:szCs w:val="20"/>
              </w:rPr>
              <w:t xml:space="preserve">, </w:t>
            </w:r>
            <w:r w:rsidR="00292851" w:rsidRPr="006A3CD5">
              <w:rPr>
                <w:rFonts w:ascii="Arial" w:hAnsi="Arial"/>
                <w:sz w:val="20"/>
                <w:szCs w:val="20"/>
              </w:rPr>
              <w:t>ambientes de tratamiento de procesos (físicos, químicos, biológicos), Biblioteca especializadas, Oficinas Administrativas y de Dirección, SSHH, depósitos, almacenes, archivos, obras exteriores</w:t>
            </w:r>
            <w:r w:rsidR="0012761A">
              <w:rPr>
                <w:rFonts w:ascii="Arial" w:hAnsi="Arial"/>
                <w:sz w:val="20"/>
                <w:szCs w:val="20"/>
              </w:rPr>
              <w:t>.</w:t>
            </w:r>
          </w:p>
          <w:p w14:paraId="27895B41" w14:textId="77777777" w:rsidR="00097198" w:rsidRPr="002F3B0C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7F16CC09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EB51C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3AA2DCD4" w14:textId="77777777" w:rsidR="00293FB4" w:rsidRPr="002F3B0C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A5F71EF" w14:textId="6470EF24" w:rsidR="00293FB4" w:rsidRPr="002F3B0C" w:rsidRDefault="00293FB4" w:rsidP="00293FB4">
            <w:pPr>
              <w:spacing w:after="120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2F3B0C">
              <w:rPr>
                <w:rFonts w:ascii="Arial" w:hAnsi="Arial"/>
                <w:sz w:val="20"/>
                <w:szCs w:val="20"/>
                <w:lang w:val="es-MX"/>
              </w:rPr>
              <w:t xml:space="preserve">El indicador es </w:t>
            </w:r>
            <w:r w:rsidR="006A3CD5">
              <w:rPr>
                <w:rFonts w:ascii="Arial" w:hAnsi="Arial"/>
                <w:sz w:val="20"/>
                <w:szCs w:val="20"/>
                <w:lang w:val="es-MX"/>
              </w:rPr>
              <w:t>asociado a una brecha de calidad.</w:t>
            </w:r>
          </w:p>
          <w:p w14:paraId="6B6B86A1" w14:textId="77777777" w:rsidR="00097198" w:rsidRPr="002F3B0C" w:rsidRDefault="00097198" w:rsidP="00097198">
            <w:pPr>
              <w:spacing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146561E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05AB9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2A1B464D" w14:textId="01B1EF69" w:rsidR="00293FB4" w:rsidRPr="002F3B0C" w:rsidRDefault="00293FB4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15D2B178" w14:textId="77777777" w:rsidR="00895334" w:rsidRDefault="00895334" w:rsidP="00895334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48C192E6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ADF34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bookmarkStart w:id="0" w:name="_GoBack"/>
                  <w:bookmarkEnd w:id="0"/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0022C3A8" w14:textId="77777777" w:rsidR="00097198" w:rsidRPr="002F3B0C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0B8A526" w14:textId="2C4DF312" w:rsidR="00097198" w:rsidRPr="002F3B0C" w:rsidRDefault="00050F5B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>Es</w:t>
            </w:r>
            <w:r w:rsidR="00C12E45" w:rsidRPr="002F3B0C">
              <w:rPr>
                <w:rFonts w:ascii="Arial" w:hAnsi="Arial"/>
                <w:sz w:val="20"/>
                <w:szCs w:val="20"/>
              </w:rPr>
              <w:t xml:space="preserve">te indicador permite medir directamente la brecha de </w:t>
            </w:r>
            <w:r w:rsidR="00322817" w:rsidRPr="002F3B0C">
              <w:rPr>
                <w:rFonts w:ascii="Arial" w:hAnsi="Arial"/>
                <w:sz w:val="20"/>
                <w:szCs w:val="20"/>
              </w:rPr>
              <w:t xml:space="preserve">calidad </w:t>
            </w:r>
            <w:r w:rsidR="004527D1" w:rsidRPr="002F3B0C">
              <w:rPr>
                <w:rFonts w:ascii="Arial" w:hAnsi="Arial"/>
                <w:sz w:val="20"/>
                <w:szCs w:val="20"/>
              </w:rPr>
              <w:t>en la infraestructura</w:t>
            </w:r>
            <w:r w:rsidR="00BA2EF1" w:rsidRPr="002F3B0C">
              <w:rPr>
                <w:rFonts w:ascii="Arial" w:hAnsi="Arial"/>
                <w:sz w:val="20"/>
                <w:szCs w:val="20"/>
              </w:rPr>
              <w:t xml:space="preserve"> que brinda el </w:t>
            </w:r>
            <w:r w:rsidR="00C12E45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BA2EF1" w:rsidRPr="002F3B0C">
              <w:rPr>
                <w:rFonts w:ascii="Arial" w:hAnsi="Arial"/>
                <w:bCs/>
                <w:sz w:val="20"/>
                <w:szCs w:val="20"/>
              </w:rPr>
              <w:t xml:space="preserve">Servicio de </w:t>
            </w:r>
            <w:r w:rsidR="00E72712" w:rsidRPr="002F3B0C">
              <w:rPr>
                <w:rFonts w:ascii="Arial" w:hAnsi="Arial"/>
                <w:bCs/>
                <w:sz w:val="20"/>
                <w:szCs w:val="20"/>
              </w:rPr>
              <w:t>Investigación</w:t>
            </w:r>
            <w:r w:rsidR="00BA2EF1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4527D1" w:rsidRPr="002F3B0C">
              <w:rPr>
                <w:rFonts w:ascii="Arial" w:hAnsi="Arial"/>
                <w:sz w:val="20"/>
                <w:szCs w:val="20"/>
              </w:rPr>
              <w:t xml:space="preserve">para </w:t>
            </w:r>
            <w:r w:rsidR="00DA5C5C">
              <w:rPr>
                <w:rFonts w:ascii="Arial" w:hAnsi="Arial"/>
                <w:sz w:val="20"/>
                <w:szCs w:val="20"/>
              </w:rPr>
              <w:t>la generación de conocimiento y tecnologías</w:t>
            </w:r>
            <w:r w:rsidR="004527D1" w:rsidRPr="002F3B0C">
              <w:rPr>
                <w:rFonts w:ascii="Arial" w:hAnsi="Arial"/>
                <w:sz w:val="20"/>
                <w:szCs w:val="20"/>
              </w:rPr>
              <w:t>,</w:t>
            </w:r>
            <w:r w:rsidR="00322817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C12E45" w:rsidRPr="002F3B0C">
              <w:rPr>
                <w:rFonts w:ascii="Arial" w:hAnsi="Arial"/>
                <w:sz w:val="20"/>
                <w:szCs w:val="20"/>
              </w:rPr>
              <w:t>y consiguientemente el cierre está vinculado directamente con la ejec</w:t>
            </w:r>
            <w:r w:rsidR="00A40D78" w:rsidRPr="002F3B0C">
              <w:rPr>
                <w:rFonts w:ascii="Arial" w:hAnsi="Arial"/>
                <w:sz w:val="20"/>
                <w:szCs w:val="20"/>
              </w:rPr>
              <w:t>ución de proyectos de inversión, inversiones de optimización, de ampliación marginal, de reposición y de rehabilitación.</w:t>
            </w:r>
          </w:p>
          <w:p w14:paraId="5B7E8748" w14:textId="77777777" w:rsidR="00097198" w:rsidRPr="002F3B0C" w:rsidRDefault="00097198" w:rsidP="00097198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7B4181E1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45017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1B209AF0" w14:textId="24B8C217" w:rsidR="00290F07" w:rsidRPr="002F3B0C" w:rsidRDefault="00290F07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89E6E84" w14:textId="6D19BC59" w:rsidR="001D0205" w:rsidRPr="002F3B0C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>Pendiente</w:t>
            </w:r>
          </w:p>
          <w:p w14:paraId="69A8C0EC" w14:textId="77777777" w:rsidR="00357486" w:rsidRPr="002F3B0C" w:rsidRDefault="00357486" w:rsidP="001D0205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7B326238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4A8F3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0D4A9EFC" w14:textId="5EFAA1C7" w:rsidR="00290F07" w:rsidRPr="002F3B0C" w:rsidRDefault="00290F07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062C632" w14:textId="0F5BA2EA" w:rsidR="001D0205" w:rsidRPr="002F3B0C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>Pendiente</w:t>
            </w:r>
          </w:p>
          <w:p w14:paraId="04FD9B3C" w14:textId="77777777" w:rsidR="00357486" w:rsidRPr="002F3B0C" w:rsidRDefault="00357486" w:rsidP="001D020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60A273DC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C1D203" w14:textId="77777777" w:rsidR="00136088" w:rsidRPr="002F3B0C" w:rsidRDefault="00136088" w:rsidP="00097198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</w:t>
                  </w:r>
                  <w:r w:rsidR="00D72BBB"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</w:t>
                  </w: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LCULO</w:t>
                  </w:r>
                </w:p>
              </w:tc>
            </w:tr>
          </w:tbl>
          <w:p w14:paraId="6F48CF6F" w14:textId="77777777" w:rsidR="00097198" w:rsidRPr="002F3B0C" w:rsidRDefault="00097198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025F38" w14:textId="14F5ED54" w:rsidR="00357486" w:rsidRPr="002F3B0C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14:paraId="3F58CCD9" w14:textId="77777777" w:rsidR="00357486" w:rsidRPr="002F3B0C" w:rsidRDefault="00357486" w:rsidP="00097198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43B6A9" w14:textId="7727929D" w:rsidR="00DC179E" w:rsidRPr="002F3B0C" w:rsidRDefault="0048189A" w:rsidP="00097198">
            <w:pPr>
              <w:spacing w:before="240" w:after="120" w:line="240" w:lineRule="auto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PIICII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s-PE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NIIU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TICIU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574AC784" w14:textId="77777777" w:rsidR="00097198" w:rsidRPr="002F3B0C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95DF7A7" w14:textId="2D4C07F3" w:rsidR="00DC179E" w:rsidRPr="002F3B0C" w:rsidRDefault="0048189A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PIICII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5C5A26" w:rsidRPr="002F3B0C">
              <w:rPr>
                <w:rFonts w:ascii="Arial" w:hAnsi="Arial"/>
                <w:bCs/>
                <w:sz w:val="20"/>
                <w:szCs w:val="20"/>
              </w:rPr>
              <w:t xml:space="preserve">Porcentaje de </w:t>
            </w:r>
            <w:r w:rsidR="005C5A26">
              <w:rPr>
                <w:rFonts w:ascii="Arial" w:hAnsi="Arial"/>
                <w:bCs/>
                <w:sz w:val="20"/>
                <w:szCs w:val="20"/>
              </w:rPr>
              <w:t>Institutos de I</w:t>
            </w:r>
            <w:r w:rsidR="005C5A26" w:rsidRPr="002F3B0C">
              <w:rPr>
                <w:rFonts w:ascii="Arial" w:hAnsi="Arial"/>
                <w:bCs/>
                <w:sz w:val="20"/>
                <w:szCs w:val="20"/>
              </w:rPr>
              <w:t xml:space="preserve">nvestigación </w:t>
            </w:r>
            <w:r w:rsidR="005C5A26">
              <w:rPr>
                <w:rFonts w:ascii="Arial" w:hAnsi="Arial"/>
                <w:bCs/>
                <w:sz w:val="20"/>
                <w:szCs w:val="20"/>
              </w:rPr>
              <w:t xml:space="preserve">de gestión pública </w:t>
            </w:r>
            <w:r w:rsidR="005C5A26" w:rsidRPr="002F3B0C">
              <w:rPr>
                <w:rFonts w:ascii="Arial" w:hAnsi="Arial"/>
                <w:bCs/>
                <w:sz w:val="20"/>
                <w:szCs w:val="20"/>
              </w:rPr>
              <w:t xml:space="preserve">que cuentan </w:t>
            </w:r>
            <w:r w:rsidR="005C5A26">
              <w:rPr>
                <w:rFonts w:ascii="Arial" w:hAnsi="Arial"/>
                <w:bCs/>
                <w:sz w:val="20"/>
                <w:szCs w:val="20"/>
              </w:rPr>
              <w:t xml:space="preserve">con capacidad instalada inadecuada </w:t>
            </w:r>
            <w:r w:rsidR="00DC179E" w:rsidRPr="002F3B0C">
              <w:rPr>
                <w:rFonts w:ascii="Arial" w:hAnsi="Arial"/>
                <w:sz w:val="20"/>
                <w:szCs w:val="20"/>
              </w:rPr>
              <w:t>en el tiempo t.</w:t>
            </w:r>
          </w:p>
          <w:p w14:paraId="6AD4E5E5" w14:textId="77777777" w:rsidR="00097198" w:rsidRPr="002F3B0C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4F28CBF" w14:textId="3439A29C" w:rsidR="00DC179E" w:rsidRPr="002F3B0C" w:rsidRDefault="0048189A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NIIU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2F3B0C">
              <w:rPr>
                <w:rFonts w:ascii="Arial" w:hAnsi="Arial"/>
                <w:sz w:val="20"/>
                <w:szCs w:val="20"/>
              </w:rPr>
              <w:t xml:space="preserve"> Número de </w:t>
            </w:r>
            <w:r w:rsidR="00E72712" w:rsidRPr="002F3B0C">
              <w:rPr>
                <w:rFonts w:ascii="Arial" w:hAnsi="Arial"/>
                <w:sz w:val="20"/>
                <w:szCs w:val="20"/>
              </w:rPr>
              <w:t>Institutos</w:t>
            </w:r>
            <w:r w:rsidR="00AA2AD5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E72712" w:rsidRPr="002F3B0C">
              <w:rPr>
                <w:rFonts w:ascii="Arial" w:hAnsi="Arial"/>
                <w:sz w:val="20"/>
                <w:szCs w:val="20"/>
              </w:rPr>
              <w:t xml:space="preserve">y/o </w:t>
            </w:r>
            <w:r w:rsidR="00D44810">
              <w:rPr>
                <w:rFonts w:ascii="Arial" w:hAnsi="Arial"/>
                <w:sz w:val="20"/>
                <w:szCs w:val="20"/>
              </w:rPr>
              <w:t>C</w:t>
            </w:r>
            <w:r w:rsidR="00E72712" w:rsidRPr="002F3B0C">
              <w:rPr>
                <w:rFonts w:ascii="Arial" w:hAnsi="Arial"/>
                <w:sz w:val="20"/>
                <w:szCs w:val="20"/>
              </w:rPr>
              <w:t xml:space="preserve">entros de </w:t>
            </w:r>
            <w:r w:rsidR="00D44810">
              <w:rPr>
                <w:rFonts w:ascii="Arial" w:hAnsi="Arial"/>
                <w:sz w:val="20"/>
                <w:szCs w:val="20"/>
              </w:rPr>
              <w:t>I</w:t>
            </w:r>
            <w:r w:rsidR="00E72712" w:rsidRPr="002F3B0C">
              <w:rPr>
                <w:rFonts w:ascii="Arial" w:hAnsi="Arial"/>
                <w:sz w:val="20"/>
                <w:szCs w:val="20"/>
              </w:rPr>
              <w:t xml:space="preserve">nvestigación </w:t>
            </w:r>
            <w:r w:rsidR="00155C0D">
              <w:rPr>
                <w:rFonts w:ascii="Arial" w:hAnsi="Arial"/>
                <w:sz w:val="20"/>
                <w:szCs w:val="20"/>
              </w:rPr>
              <w:t>con capacidad instalada inadecuada</w:t>
            </w:r>
            <w:r w:rsidR="00DC179E" w:rsidRPr="002F3B0C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04848552" w14:textId="77777777" w:rsidR="00097198" w:rsidRPr="002F3B0C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80E5560" w14:textId="2646EF55" w:rsidR="00DC179E" w:rsidRPr="002F3B0C" w:rsidRDefault="0048189A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TICIU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DC179E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DC1F28">
              <w:rPr>
                <w:rFonts w:ascii="Arial" w:hAnsi="Arial"/>
                <w:sz w:val="20"/>
                <w:szCs w:val="20"/>
              </w:rPr>
              <w:t>Total de Institutos y/o C</w:t>
            </w:r>
            <w:r w:rsidR="00DC1F28" w:rsidRPr="002F3B0C">
              <w:rPr>
                <w:rFonts w:ascii="Arial" w:hAnsi="Arial"/>
                <w:sz w:val="20"/>
                <w:szCs w:val="20"/>
              </w:rPr>
              <w:t>entros de</w:t>
            </w:r>
            <w:r w:rsidR="00DC1F28">
              <w:rPr>
                <w:rFonts w:ascii="Arial" w:hAnsi="Arial"/>
                <w:sz w:val="20"/>
                <w:szCs w:val="20"/>
              </w:rPr>
              <w:t xml:space="preserve"> Investigación</w:t>
            </w:r>
            <w:r w:rsidR="00DC1F28" w:rsidRPr="002F3B0C">
              <w:rPr>
                <w:rFonts w:ascii="Arial" w:hAnsi="Arial"/>
                <w:sz w:val="20"/>
                <w:szCs w:val="20"/>
              </w:rPr>
              <w:t xml:space="preserve"> </w:t>
            </w:r>
            <w:r w:rsidR="00DC1F28">
              <w:rPr>
                <w:rFonts w:ascii="Arial" w:hAnsi="Arial"/>
                <w:sz w:val="20"/>
                <w:szCs w:val="20"/>
              </w:rPr>
              <w:t>en</w:t>
            </w:r>
            <w:r w:rsidR="00DC1F28" w:rsidRPr="002F3B0C">
              <w:rPr>
                <w:rFonts w:ascii="Arial" w:hAnsi="Arial"/>
                <w:sz w:val="20"/>
                <w:szCs w:val="20"/>
              </w:rPr>
              <w:t xml:space="preserve"> la</w:t>
            </w:r>
            <w:r w:rsidR="00DC1F28">
              <w:rPr>
                <w:rFonts w:ascii="Arial" w:hAnsi="Arial"/>
                <w:sz w:val="20"/>
                <w:szCs w:val="20"/>
              </w:rPr>
              <w:t>s</w:t>
            </w:r>
            <w:r w:rsidR="00DC1F28" w:rsidRPr="002F3B0C">
              <w:rPr>
                <w:rFonts w:ascii="Arial" w:hAnsi="Arial"/>
                <w:sz w:val="20"/>
                <w:szCs w:val="20"/>
              </w:rPr>
              <w:t xml:space="preserve"> Universidad</w:t>
            </w:r>
            <w:r w:rsidR="00DC1F28">
              <w:rPr>
                <w:rFonts w:ascii="Arial" w:hAnsi="Arial"/>
                <w:sz w:val="20"/>
                <w:szCs w:val="20"/>
              </w:rPr>
              <w:t>es</w:t>
            </w:r>
            <w:r w:rsidR="00DC1F28" w:rsidRPr="002F3B0C">
              <w:rPr>
                <w:rFonts w:ascii="Arial" w:hAnsi="Arial"/>
                <w:sz w:val="20"/>
                <w:szCs w:val="20"/>
              </w:rPr>
              <w:t xml:space="preserve"> Pública</w:t>
            </w:r>
            <w:r w:rsidR="00DC1F28">
              <w:rPr>
                <w:rFonts w:ascii="Arial" w:hAnsi="Arial"/>
                <w:sz w:val="20"/>
                <w:szCs w:val="20"/>
              </w:rPr>
              <w:t>s</w:t>
            </w:r>
            <w:r w:rsidR="00DC179E" w:rsidRPr="002F3B0C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6AFB4978" w14:textId="77777777" w:rsidR="00097198" w:rsidRPr="002F3B0C" w:rsidRDefault="00097198" w:rsidP="00097198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EE237C" w14:textId="0885A9DF" w:rsidR="00DC179E" w:rsidRPr="002F3B0C" w:rsidRDefault="00DC179E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F3B0C">
              <w:rPr>
                <w:rFonts w:ascii="Arial" w:hAnsi="Arial"/>
                <w:sz w:val="20"/>
                <w:szCs w:val="20"/>
              </w:rPr>
              <w:t>El indicador pu</w:t>
            </w:r>
            <w:r w:rsidR="00D22509">
              <w:rPr>
                <w:rFonts w:ascii="Arial" w:hAnsi="Arial"/>
                <w:sz w:val="20"/>
                <w:szCs w:val="20"/>
              </w:rPr>
              <w:t xml:space="preserve">ede ser aplicado </w:t>
            </w:r>
            <w:r w:rsidR="006D0958">
              <w:rPr>
                <w:rFonts w:ascii="Arial" w:hAnsi="Arial"/>
                <w:sz w:val="20"/>
                <w:szCs w:val="20"/>
              </w:rPr>
              <w:t xml:space="preserve">a nivel Nacional o </w:t>
            </w:r>
            <w:proofErr w:type="gramStart"/>
            <w:r w:rsidR="00D44810">
              <w:rPr>
                <w:rFonts w:ascii="Arial" w:hAnsi="Arial"/>
                <w:sz w:val="20"/>
                <w:szCs w:val="20"/>
              </w:rPr>
              <w:t>agrupada</w:t>
            </w:r>
            <w:proofErr w:type="gramEnd"/>
            <w:r w:rsidR="00D44810">
              <w:rPr>
                <w:rFonts w:ascii="Arial" w:hAnsi="Arial"/>
                <w:sz w:val="20"/>
                <w:szCs w:val="20"/>
              </w:rPr>
              <w:t xml:space="preserve"> por </w:t>
            </w:r>
            <w:r w:rsidR="006D0958">
              <w:rPr>
                <w:rFonts w:ascii="Arial" w:hAnsi="Arial"/>
                <w:sz w:val="20"/>
                <w:szCs w:val="20"/>
              </w:rPr>
              <w:t>Universidad Pública.</w:t>
            </w:r>
          </w:p>
          <w:p w14:paraId="22D41D32" w14:textId="77777777" w:rsidR="00DC179E" w:rsidRPr="002F3B0C" w:rsidRDefault="00DC179E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8C6D01" w14:textId="77777777" w:rsidR="00357486" w:rsidRPr="002F3B0C" w:rsidRDefault="00357486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09D3E7CA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0D624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2F8A36F0" w14:textId="77777777" w:rsidR="00097198" w:rsidRPr="002F3B0C" w:rsidRDefault="00097198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AB55E31" w14:textId="0AD28F7B" w:rsidR="00816E42" w:rsidRPr="002F3B0C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2F3B0C">
              <w:rPr>
                <w:rFonts w:ascii="Arial" w:hAnsi="Arial"/>
                <w:sz w:val="20"/>
                <w:szCs w:val="18"/>
              </w:rPr>
              <w:t>Pendiente</w:t>
            </w:r>
          </w:p>
          <w:p w14:paraId="59EE3810" w14:textId="77777777" w:rsidR="00816E42" w:rsidRPr="002F3B0C" w:rsidRDefault="00816E42" w:rsidP="00357486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7C896B02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3FB38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646A711F" w14:textId="77777777" w:rsidR="00097198" w:rsidRPr="002F3B0C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22E994F5" w14:textId="37764186" w:rsidR="00816E42" w:rsidRPr="002F3B0C" w:rsidRDefault="004C3EDC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Pendiente</w:t>
            </w:r>
          </w:p>
          <w:p w14:paraId="261CA46B" w14:textId="77777777" w:rsidR="00097198" w:rsidRPr="002F3B0C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7443DF81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6DFB05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14EFBED9" w14:textId="77777777" w:rsidR="001D0205" w:rsidRPr="002F3B0C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  <w:lang w:val="es-MX"/>
              </w:rPr>
            </w:pPr>
          </w:p>
          <w:p w14:paraId="501D3CB0" w14:textId="4EBC957C" w:rsidR="00816E42" w:rsidRPr="002F3B0C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2F3B0C">
              <w:rPr>
                <w:rFonts w:ascii="Arial" w:hAnsi="Arial"/>
                <w:sz w:val="20"/>
                <w:szCs w:val="18"/>
              </w:rPr>
              <w:t>Pendiente</w:t>
            </w:r>
          </w:p>
          <w:p w14:paraId="0EBA8E91" w14:textId="77777777" w:rsidR="001D0205" w:rsidRPr="002F3B0C" w:rsidRDefault="001D0205" w:rsidP="00357486">
            <w:pPr>
              <w:spacing w:after="0" w:line="240" w:lineRule="auto"/>
              <w:jc w:val="both"/>
              <w:rPr>
                <w:rFonts w:ascii="Arial" w:hAnsi="Arial"/>
                <w:iCs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40A9D4AC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D4983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2D559441" w14:textId="77777777" w:rsidR="00097198" w:rsidRPr="002F3B0C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CAE0D46" w14:textId="1E20882B" w:rsidR="00816E42" w:rsidRPr="002F3B0C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2F3B0C">
              <w:rPr>
                <w:rFonts w:ascii="Arial" w:hAnsi="Arial"/>
                <w:sz w:val="20"/>
                <w:szCs w:val="18"/>
              </w:rPr>
              <w:t>Pendiente</w:t>
            </w:r>
          </w:p>
          <w:p w14:paraId="47255BD4" w14:textId="77777777" w:rsidR="00097198" w:rsidRPr="002F3B0C" w:rsidRDefault="0009719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4759" w:rsidRPr="002F3B0C" w14:paraId="6668375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08919" w14:textId="77777777" w:rsidR="00136088" w:rsidRPr="002F3B0C" w:rsidRDefault="00136088" w:rsidP="00097198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F3B0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14:paraId="471F9B02" w14:textId="77777777" w:rsidR="00136088" w:rsidRPr="002F3B0C" w:rsidRDefault="00136088" w:rsidP="00357486">
            <w:pPr>
              <w:spacing w:after="0" w:line="240" w:lineRule="auto"/>
              <w:contextualSpacing/>
              <w:jc w:val="both"/>
              <w:rPr>
                <w:rFonts w:ascii="Arial" w:hAnsi="Arial"/>
                <w:szCs w:val="20"/>
              </w:rPr>
            </w:pPr>
          </w:p>
          <w:p w14:paraId="0C3FE809" w14:textId="6EE58DB0" w:rsidR="00816E42" w:rsidRPr="00357486" w:rsidRDefault="00816E42" w:rsidP="00357486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2F3B0C">
              <w:rPr>
                <w:rFonts w:ascii="Arial" w:hAnsi="Arial"/>
                <w:sz w:val="20"/>
                <w:szCs w:val="18"/>
              </w:rPr>
              <w:t>Pendiente</w:t>
            </w:r>
          </w:p>
          <w:p w14:paraId="369618C9" w14:textId="77777777" w:rsidR="005D4759" w:rsidRPr="005A66DA" w:rsidRDefault="005D4759" w:rsidP="00097198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DA39FAB" w14:textId="4D069034" w:rsidR="009E00AB" w:rsidRPr="00D046B0" w:rsidRDefault="009E00AB">
      <w:pPr>
        <w:rPr>
          <w:rFonts w:ascii="Arial" w:hAnsi="Arial"/>
          <w:bCs/>
          <w:sz w:val="18"/>
          <w:szCs w:val="18"/>
        </w:rPr>
      </w:pPr>
    </w:p>
    <w:p w14:paraId="393164BF" w14:textId="77777777" w:rsidR="00F87B05" w:rsidRPr="00D046B0" w:rsidRDefault="00F87B05" w:rsidP="003A56DB">
      <w:pPr>
        <w:jc w:val="center"/>
        <w:rPr>
          <w:rFonts w:ascii="Arial" w:hAnsi="Arial"/>
          <w:sz w:val="18"/>
          <w:szCs w:val="18"/>
        </w:rPr>
      </w:pPr>
    </w:p>
    <w:sectPr w:rsidR="00F87B05" w:rsidRPr="00D046B0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4E44" w14:textId="77777777" w:rsidR="0048189A" w:rsidRDefault="0048189A" w:rsidP="00ED2218">
      <w:pPr>
        <w:spacing w:after="0" w:line="240" w:lineRule="auto"/>
      </w:pPr>
      <w:r>
        <w:separator/>
      </w:r>
    </w:p>
  </w:endnote>
  <w:endnote w:type="continuationSeparator" w:id="0">
    <w:p w14:paraId="6B2D229E" w14:textId="77777777" w:rsidR="0048189A" w:rsidRDefault="0048189A" w:rsidP="00ED2218">
      <w:pPr>
        <w:spacing w:after="0" w:line="240" w:lineRule="auto"/>
      </w:pPr>
      <w:r>
        <w:continuationSeparator/>
      </w:r>
    </w:p>
  </w:endnote>
  <w:endnote w:type="continuationNotice" w:id="1">
    <w:p w14:paraId="3D80C9C8" w14:textId="77777777" w:rsidR="0048189A" w:rsidRDefault="00481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DF18F" w14:textId="77777777" w:rsidR="0048189A" w:rsidRDefault="0048189A" w:rsidP="00ED2218">
      <w:pPr>
        <w:spacing w:after="0" w:line="240" w:lineRule="auto"/>
      </w:pPr>
      <w:r>
        <w:separator/>
      </w:r>
    </w:p>
  </w:footnote>
  <w:footnote w:type="continuationSeparator" w:id="0">
    <w:p w14:paraId="5D9D9EE1" w14:textId="77777777" w:rsidR="0048189A" w:rsidRDefault="0048189A" w:rsidP="00ED2218">
      <w:pPr>
        <w:spacing w:after="0" w:line="240" w:lineRule="auto"/>
      </w:pPr>
      <w:r>
        <w:continuationSeparator/>
      </w:r>
    </w:p>
  </w:footnote>
  <w:footnote w:type="continuationNotice" w:id="1">
    <w:p w14:paraId="29BAA3BC" w14:textId="77777777" w:rsidR="0048189A" w:rsidRDefault="0048189A">
      <w:pPr>
        <w:spacing w:after="0" w:line="240" w:lineRule="auto"/>
      </w:pPr>
    </w:p>
  </w:footnote>
  <w:footnote w:id="2">
    <w:p w14:paraId="122A24AD" w14:textId="1C971571" w:rsidR="009A489C" w:rsidRPr="009A489C" w:rsidRDefault="009A489C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Art. 31 de la Ley N° 30220, Ley Universitaria.</w:t>
      </w:r>
    </w:p>
  </w:footnote>
  <w:footnote w:id="3">
    <w:p w14:paraId="2CFA3DC8" w14:textId="6B1E4253" w:rsidR="009A489C" w:rsidRPr="009A489C" w:rsidRDefault="009A489C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Art. 37 de la Ley N° 30220, Ley Universitaria</w:t>
      </w:r>
    </w:p>
  </w:footnote>
  <w:footnote w:id="4">
    <w:p w14:paraId="68C49EC4" w14:textId="7260872F" w:rsidR="009A489C" w:rsidRPr="009A489C" w:rsidRDefault="009A489C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Art. 48 de la Ley N° 30220, Ley Universitaria.</w:t>
      </w:r>
    </w:p>
  </w:footnote>
  <w:footnote w:id="5">
    <w:p w14:paraId="4074EA90" w14:textId="3859F4A1" w:rsidR="00A52CA3" w:rsidRPr="00A52CA3" w:rsidRDefault="00A52CA3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Los Centros e Institutos de Investigación</w:t>
      </w:r>
      <w:r w:rsidR="00545EE0">
        <w:rPr>
          <w:lang w:val="es-PE"/>
        </w:rPr>
        <w:t xml:space="preserve"> realizan la función de investigación</w:t>
      </w:r>
      <w:r w:rsidR="005C5A26">
        <w:rPr>
          <w:lang w:val="es-PE"/>
        </w:rPr>
        <w:t>, los cuales</w:t>
      </w:r>
      <w:r>
        <w:rPr>
          <w:lang w:val="es-PE"/>
        </w:rPr>
        <w:t xml:space="preserve"> se encuentran dentro de las Facultades o también pueden depender directamente de la Administración Central de la Universidad.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6EDA"/>
    <w:multiLevelType w:val="hybridMultilevel"/>
    <w:tmpl w:val="C222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B6F"/>
    <w:multiLevelType w:val="hybridMultilevel"/>
    <w:tmpl w:val="9F168E28"/>
    <w:lvl w:ilvl="0" w:tplc="580056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FBC"/>
    <w:multiLevelType w:val="hybridMultilevel"/>
    <w:tmpl w:val="6584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3F6D99"/>
    <w:multiLevelType w:val="hybridMultilevel"/>
    <w:tmpl w:val="94E6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5D8F"/>
    <w:multiLevelType w:val="hybridMultilevel"/>
    <w:tmpl w:val="DEB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3257"/>
    <w:rsid w:val="00013F3B"/>
    <w:rsid w:val="00050F5B"/>
    <w:rsid w:val="00054C28"/>
    <w:rsid w:val="00071859"/>
    <w:rsid w:val="000876D1"/>
    <w:rsid w:val="00097198"/>
    <w:rsid w:val="000A4A3D"/>
    <w:rsid w:val="000D1B2A"/>
    <w:rsid w:val="000E0437"/>
    <w:rsid w:val="000E3EEB"/>
    <w:rsid w:val="000E5DF1"/>
    <w:rsid w:val="000E7F25"/>
    <w:rsid w:val="0010075A"/>
    <w:rsid w:val="00107E50"/>
    <w:rsid w:val="00120A3D"/>
    <w:rsid w:val="00127299"/>
    <w:rsid w:val="0012761A"/>
    <w:rsid w:val="00133228"/>
    <w:rsid w:val="00133388"/>
    <w:rsid w:val="00133CC9"/>
    <w:rsid w:val="00136088"/>
    <w:rsid w:val="001477B4"/>
    <w:rsid w:val="00155C0D"/>
    <w:rsid w:val="00156C86"/>
    <w:rsid w:val="00173596"/>
    <w:rsid w:val="00184704"/>
    <w:rsid w:val="001866ED"/>
    <w:rsid w:val="001A57F6"/>
    <w:rsid w:val="001C3CBB"/>
    <w:rsid w:val="001D0205"/>
    <w:rsid w:val="001E07AA"/>
    <w:rsid w:val="001E2601"/>
    <w:rsid w:val="001F043D"/>
    <w:rsid w:val="00217F7C"/>
    <w:rsid w:val="00222E51"/>
    <w:rsid w:val="00237480"/>
    <w:rsid w:val="002636DB"/>
    <w:rsid w:val="00265A3F"/>
    <w:rsid w:val="00273B71"/>
    <w:rsid w:val="00284E47"/>
    <w:rsid w:val="00290F07"/>
    <w:rsid w:val="00292851"/>
    <w:rsid w:val="00292D41"/>
    <w:rsid w:val="00293FB4"/>
    <w:rsid w:val="00296FE1"/>
    <w:rsid w:val="002B582B"/>
    <w:rsid w:val="002B64E4"/>
    <w:rsid w:val="002C036C"/>
    <w:rsid w:val="002D5A7F"/>
    <w:rsid w:val="002E326A"/>
    <w:rsid w:val="002E5C61"/>
    <w:rsid w:val="002F31A3"/>
    <w:rsid w:val="002F3B0C"/>
    <w:rsid w:val="002F5D9B"/>
    <w:rsid w:val="003037D0"/>
    <w:rsid w:val="0030508D"/>
    <w:rsid w:val="00306BE5"/>
    <w:rsid w:val="00322817"/>
    <w:rsid w:val="00341A2E"/>
    <w:rsid w:val="00341C9B"/>
    <w:rsid w:val="00357486"/>
    <w:rsid w:val="00357691"/>
    <w:rsid w:val="00371D17"/>
    <w:rsid w:val="003A56DB"/>
    <w:rsid w:val="003B01D8"/>
    <w:rsid w:val="003C12DF"/>
    <w:rsid w:val="003F78F1"/>
    <w:rsid w:val="004026D5"/>
    <w:rsid w:val="00416A95"/>
    <w:rsid w:val="0042192A"/>
    <w:rsid w:val="00424BD9"/>
    <w:rsid w:val="00432203"/>
    <w:rsid w:val="00437413"/>
    <w:rsid w:val="00437B89"/>
    <w:rsid w:val="004527D1"/>
    <w:rsid w:val="00471D68"/>
    <w:rsid w:val="0048189A"/>
    <w:rsid w:val="0048376F"/>
    <w:rsid w:val="004876C4"/>
    <w:rsid w:val="004A41C5"/>
    <w:rsid w:val="004B0186"/>
    <w:rsid w:val="004C1D52"/>
    <w:rsid w:val="004C282F"/>
    <w:rsid w:val="004C3EDC"/>
    <w:rsid w:val="004C6BF4"/>
    <w:rsid w:val="004C6E6A"/>
    <w:rsid w:val="004D3FB2"/>
    <w:rsid w:val="004D5151"/>
    <w:rsid w:val="004D52B5"/>
    <w:rsid w:val="004D68C4"/>
    <w:rsid w:val="004F027D"/>
    <w:rsid w:val="004F3E4B"/>
    <w:rsid w:val="004F7D21"/>
    <w:rsid w:val="0050211C"/>
    <w:rsid w:val="0050587D"/>
    <w:rsid w:val="00505A99"/>
    <w:rsid w:val="0053013C"/>
    <w:rsid w:val="0053469B"/>
    <w:rsid w:val="00545EE0"/>
    <w:rsid w:val="00551300"/>
    <w:rsid w:val="005924C3"/>
    <w:rsid w:val="00596CE6"/>
    <w:rsid w:val="005A5A5D"/>
    <w:rsid w:val="005A66DA"/>
    <w:rsid w:val="005B3EEB"/>
    <w:rsid w:val="005C5A26"/>
    <w:rsid w:val="005D0422"/>
    <w:rsid w:val="005D4759"/>
    <w:rsid w:val="005E794F"/>
    <w:rsid w:val="005F0EF5"/>
    <w:rsid w:val="005F6A33"/>
    <w:rsid w:val="00601C3C"/>
    <w:rsid w:val="00621237"/>
    <w:rsid w:val="006271FD"/>
    <w:rsid w:val="00627B64"/>
    <w:rsid w:val="00627DB0"/>
    <w:rsid w:val="006331BD"/>
    <w:rsid w:val="006340D7"/>
    <w:rsid w:val="00694721"/>
    <w:rsid w:val="0069684C"/>
    <w:rsid w:val="006A0EC6"/>
    <w:rsid w:val="006A3CD5"/>
    <w:rsid w:val="006A52B4"/>
    <w:rsid w:val="006B1092"/>
    <w:rsid w:val="006B3FE7"/>
    <w:rsid w:val="006B4FFF"/>
    <w:rsid w:val="006D0958"/>
    <w:rsid w:val="006F5FC9"/>
    <w:rsid w:val="00711C49"/>
    <w:rsid w:val="00713E87"/>
    <w:rsid w:val="00715D39"/>
    <w:rsid w:val="0072627E"/>
    <w:rsid w:val="00727060"/>
    <w:rsid w:val="00775E2B"/>
    <w:rsid w:val="007E0034"/>
    <w:rsid w:val="007E02C4"/>
    <w:rsid w:val="007E0BB4"/>
    <w:rsid w:val="007E3DFD"/>
    <w:rsid w:val="007E51ED"/>
    <w:rsid w:val="00816E42"/>
    <w:rsid w:val="00825141"/>
    <w:rsid w:val="00830801"/>
    <w:rsid w:val="00850FE9"/>
    <w:rsid w:val="0085431F"/>
    <w:rsid w:val="008832BD"/>
    <w:rsid w:val="00885A97"/>
    <w:rsid w:val="00895334"/>
    <w:rsid w:val="00897CEC"/>
    <w:rsid w:val="008A48E6"/>
    <w:rsid w:val="008B5AF2"/>
    <w:rsid w:val="008E4941"/>
    <w:rsid w:val="008E6C85"/>
    <w:rsid w:val="00917622"/>
    <w:rsid w:val="00917A0C"/>
    <w:rsid w:val="00925DC8"/>
    <w:rsid w:val="00941145"/>
    <w:rsid w:val="009479B3"/>
    <w:rsid w:val="0097234A"/>
    <w:rsid w:val="0098341A"/>
    <w:rsid w:val="009A489C"/>
    <w:rsid w:val="009C05A9"/>
    <w:rsid w:val="009C1A93"/>
    <w:rsid w:val="009D5554"/>
    <w:rsid w:val="009E00AB"/>
    <w:rsid w:val="009E3E6F"/>
    <w:rsid w:val="009E4717"/>
    <w:rsid w:val="009E57CC"/>
    <w:rsid w:val="00A06F52"/>
    <w:rsid w:val="00A06F8F"/>
    <w:rsid w:val="00A1463D"/>
    <w:rsid w:val="00A361B7"/>
    <w:rsid w:val="00A3772A"/>
    <w:rsid w:val="00A40D78"/>
    <w:rsid w:val="00A453CE"/>
    <w:rsid w:val="00A507F4"/>
    <w:rsid w:val="00A52CA3"/>
    <w:rsid w:val="00A75B09"/>
    <w:rsid w:val="00A90995"/>
    <w:rsid w:val="00A92D72"/>
    <w:rsid w:val="00AA2AD5"/>
    <w:rsid w:val="00AA5671"/>
    <w:rsid w:val="00AB6384"/>
    <w:rsid w:val="00B046E0"/>
    <w:rsid w:val="00B107D2"/>
    <w:rsid w:val="00B11653"/>
    <w:rsid w:val="00B2118B"/>
    <w:rsid w:val="00B51312"/>
    <w:rsid w:val="00B52BB5"/>
    <w:rsid w:val="00B74C64"/>
    <w:rsid w:val="00B7578F"/>
    <w:rsid w:val="00B80789"/>
    <w:rsid w:val="00B94D24"/>
    <w:rsid w:val="00BA2EF1"/>
    <w:rsid w:val="00BA71C1"/>
    <w:rsid w:val="00BD198C"/>
    <w:rsid w:val="00BF547B"/>
    <w:rsid w:val="00C12E45"/>
    <w:rsid w:val="00C17FA7"/>
    <w:rsid w:val="00C24E42"/>
    <w:rsid w:val="00C40D4A"/>
    <w:rsid w:val="00C66487"/>
    <w:rsid w:val="00C83A6A"/>
    <w:rsid w:val="00C93BB3"/>
    <w:rsid w:val="00CA2EFB"/>
    <w:rsid w:val="00CB3E59"/>
    <w:rsid w:val="00CB5054"/>
    <w:rsid w:val="00CC1EBE"/>
    <w:rsid w:val="00CE1C3B"/>
    <w:rsid w:val="00CF231A"/>
    <w:rsid w:val="00CF4DD2"/>
    <w:rsid w:val="00D046B0"/>
    <w:rsid w:val="00D05888"/>
    <w:rsid w:val="00D05FEA"/>
    <w:rsid w:val="00D17E31"/>
    <w:rsid w:val="00D21E55"/>
    <w:rsid w:val="00D223F4"/>
    <w:rsid w:val="00D22509"/>
    <w:rsid w:val="00D23A4E"/>
    <w:rsid w:val="00D44764"/>
    <w:rsid w:val="00D44810"/>
    <w:rsid w:val="00D57DD3"/>
    <w:rsid w:val="00D679BC"/>
    <w:rsid w:val="00D717D3"/>
    <w:rsid w:val="00D72BBB"/>
    <w:rsid w:val="00D736AE"/>
    <w:rsid w:val="00DA5C5C"/>
    <w:rsid w:val="00DA662B"/>
    <w:rsid w:val="00DB0E95"/>
    <w:rsid w:val="00DC179E"/>
    <w:rsid w:val="00DC1F28"/>
    <w:rsid w:val="00DD2717"/>
    <w:rsid w:val="00DE042A"/>
    <w:rsid w:val="00DE4000"/>
    <w:rsid w:val="00DF1D3B"/>
    <w:rsid w:val="00E2394E"/>
    <w:rsid w:val="00E34EF3"/>
    <w:rsid w:val="00E70626"/>
    <w:rsid w:val="00E72712"/>
    <w:rsid w:val="00EB6681"/>
    <w:rsid w:val="00EC060D"/>
    <w:rsid w:val="00EC15EA"/>
    <w:rsid w:val="00EC5000"/>
    <w:rsid w:val="00EC601D"/>
    <w:rsid w:val="00ED2218"/>
    <w:rsid w:val="00ED739C"/>
    <w:rsid w:val="00EE2BC5"/>
    <w:rsid w:val="00EE713F"/>
    <w:rsid w:val="00EF0A6B"/>
    <w:rsid w:val="00F01305"/>
    <w:rsid w:val="00F14E4B"/>
    <w:rsid w:val="00F262D7"/>
    <w:rsid w:val="00F3167F"/>
    <w:rsid w:val="00F40047"/>
    <w:rsid w:val="00F42302"/>
    <w:rsid w:val="00F513E4"/>
    <w:rsid w:val="00F63B09"/>
    <w:rsid w:val="00F726EC"/>
    <w:rsid w:val="00F87B05"/>
    <w:rsid w:val="00F92CB3"/>
    <w:rsid w:val="00F96662"/>
    <w:rsid w:val="00FA6F13"/>
    <w:rsid w:val="00FB2261"/>
    <w:rsid w:val="00FB6F01"/>
    <w:rsid w:val="00FC076A"/>
    <w:rsid w:val="00FC6B00"/>
    <w:rsid w:val="00FC7480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9B75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E2B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7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E2B"/>
    <w:rPr>
      <w:sz w:val="22"/>
      <w:szCs w:val="22"/>
      <w:lang w:val="es-ES" w:eastAsia="en-US"/>
    </w:rPr>
  </w:style>
  <w:style w:type="paragraph" w:styleId="Revisin">
    <w:name w:val="Revision"/>
    <w:hidden/>
    <w:uiPriority w:val="99"/>
    <w:semiHidden/>
    <w:rsid w:val="00775E2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36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1B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6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61B7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D6B6-B96D-4F62-89BE-784BDBE4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2</cp:revision>
  <cp:lastPrinted>2017-02-07T18:31:00Z</cp:lastPrinted>
  <dcterms:created xsi:type="dcterms:W3CDTF">2019-02-15T19:28:00Z</dcterms:created>
  <dcterms:modified xsi:type="dcterms:W3CDTF">2019-02-15T19:28:00Z</dcterms:modified>
</cp:coreProperties>
</file>