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935D" w14:textId="2DABB1A5" w:rsidR="00E34EF3" w:rsidRPr="00DC0E89" w:rsidRDefault="00A507F4" w:rsidP="00357486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 w:rsidRPr="00DC0E89">
        <w:rPr>
          <w:rFonts w:ascii="Arial" w:hAnsi="Arial"/>
          <w:b/>
          <w:sz w:val="28"/>
          <w:szCs w:val="28"/>
        </w:rPr>
        <w:t>I</w:t>
      </w:r>
      <w:r w:rsidR="00357486" w:rsidRPr="00DC0E89">
        <w:rPr>
          <w:rFonts w:ascii="Arial" w:hAnsi="Arial"/>
          <w:b/>
          <w:sz w:val="28"/>
          <w:szCs w:val="28"/>
        </w:rPr>
        <w:t>NDICADOR</w:t>
      </w:r>
      <w:r w:rsidRPr="00DC0E89">
        <w:rPr>
          <w:rFonts w:ascii="Arial" w:hAnsi="Arial"/>
          <w:b/>
          <w:sz w:val="28"/>
          <w:szCs w:val="28"/>
        </w:rPr>
        <w:t xml:space="preserve"> </w:t>
      </w:r>
      <w:r w:rsidRPr="003D37E1">
        <w:rPr>
          <w:rFonts w:ascii="Arial" w:hAnsi="Arial"/>
          <w:b/>
          <w:sz w:val="28"/>
          <w:szCs w:val="28"/>
        </w:rPr>
        <w:t>22</w:t>
      </w:r>
      <w:r w:rsidR="005D4759" w:rsidRPr="003D37E1">
        <w:rPr>
          <w:rFonts w:ascii="Arial" w:hAnsi="Arial"/>
          <w:b/>
          <w:sz w:val="28"/>
          <w:szCs w:val="28"/>
        </w:rPr>
        <w:t>:</w:t>
      </w:r>
      <w:r w:rsidR="005D4759" w:rsidRPr="00DC0E89">
        <w:rPr>
          <w:rFonts w:ascii="Arial" w:hAnsi="Arial"/>
          <w:b/>
          <w:sz w:val="20"/>
          <w:szCs w:val="20"/>
        </w:rPr>
        <w:t xml:space="preserve"> </w:t>
      </w:r>
      <w:r w:rsidR="00855C12" w:rsidRPr="00855C12">
        <w:rPr>
          <w:rFonts w:ascii="Arial" w:hAnsi="Arial"/>
          <w:bCs/>
          <w:sz w:val="20"/>
          <w:szCs w:val="20"/>
        </w:rPr>
        <w:t>Porcentaje de Escuelas Profesionales Públicas que cuentan con capacidad instalada inadecuada</w:t>
      </w:r>
    </w:p>
    <w:p w14:paraId="390C1CEB" w14:textId="77777777" w:rsidR="00D05FEA" w:rsidRPr="00DC0E89" w:rsidRDefault="00D05FEA" w:rsidP="00357486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5657"/>
      </w:tblGrid>
      <w:tr w:rsidR="00E34EF3" w:rsidRPr="00DC0E89" w14:paraId="29E0C966" w14:textId="77777777" w:rsidTr="00855C12">
        <w:trPr>
          <w:trHeight w:val="195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3DD0" w14:textId="77777777" w:rsidR="00E34EF3" w:rsidRPr="00DC0E89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C0E89">
              <w:rPr>
                <w:rFonts w:ascii="Arial" w:hAnsi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1141" w14:textId="77777777" w:rsidR="00E34EF3" w:rsidRPr="00DC0E89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C0E89">
              <w:rPr>
                <w:rFonts w:ascii="Arial" w:hAnsi="Arial"/>
                <w:bCs/>
                <w:sz w:val="20"/>
                <w:szCs w:val="20"/>
              </w:rPr>
              <w:t>Ministerio de Educación</w:t>
            </w:r>
          </w:p>
        </w:tc>
      </w:tr>
      <w:tr w:rsidR="00E34EF3" w:rsidRPr="00DC0E89" w14:paraId="76545F3F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1F47" w14:textId="77777777" w:rsidR="00E34EF3" w:rsidRPr="00DC0E89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C0E89">
              <w:rPr>
                <w:rFonts w:ascii="Arial" w:hAnsi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BCBC" w14:textId="5E76D27F" w:rsidR="00E34EF3" w:rsidRPr="00DC0E89" w:rsidRDefault="00855C12" w:rsidP="00BA2EF1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15.02.19</w:t>
            </w:r>
          </w:p>
        </w:tc>
      </w:tr>
      <w:tr w:rsidR="00E34EF3" w:rsidRPr="00DC0E89" w14:paraId="7A91B56B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E3E8" w14:textId="77777777" w:rsidR="00E34EF3" w:rsidRPr="00DC0E89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C0E89">
              <w:rPr>
                <w:rFonts w:ascii="Arial" w:hAnsi="Arial"/>
                <w:b/>
                <w:sz w:val="20"/>
                <w:szCs w:val="20"/>
              </w:rPr>
              <w:t>Sector: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0409" w14:textId="77777777" w:rsidR="00E34EF3" w:rsidRPr="00DC0E89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C0E89">
              <w:rPr>
                <w:rFonts w:ascii="Arial" w:hAnsi="Arial"/>
                <w:bCs/>
                <w:sz w:val="20"/>
                <w:szCs w:val="20"/>
              </w:rPr>
              <w:t>Educación</w:t>
            </w:r>
          </w:p>
        </w:tc>
      </w:tr>
      <w:tr w:rsidR="00E34EF3" w:rsidRPr="00DC0E89" w14:paraId="079A15C0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B625" w14:textId="77777777" w:rsidR="00E34EF3" w:rsidRPr="00DC0E89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C0E89">
              <w:rPr>
                <w:rFonts w:ascii="Arial" w:hAnsi="Arial"/>
                <w:b/>
                <w:sz w:val="20"/>
                <w:szCs w:val="20"/>
              </w:rPr>
              <w:t>Función: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6F0D" w14:textId="77777777" w:rsidR="00E34EF3" w:rsidRPr="00DC0E89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C0E89">
              <w:rPr>
                <w:rFonts w:ascii="Arial" w:hAnsi="Arial"/>
                <w:bCs/>
                <w:sz w:val="20"/>
                <w:szCs w:val="20"/>
              </w:rPr>
              <w:t>22 Educación</w:t>
            </w:r>
          </w:p>
        </w:tc>
      </w:tr>
      <w:tr w:rsidR="00E34EF3" w:rsidRPr="00DC0E89" w14:paraId="787B4ED9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19ED" w14:textId="77777777" w:rsidR="00E34EF3" w:rsidRPr="00DC0E89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C0E89">
              <w:rPr>
                <w:rFonts w:ascii="Arial" w:hAnsi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7543" w14:textId="77777777" w:rsidR="00E34EF3" w:rsidRPr="00DC0E89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C0E89">
              <w:rPr>
                <w:rFonts w:ascii="Arial" w:hAnsi="Arial"/>
                <w:bCs/>
                <w:sz w:val="20"/>
                <w:szCs w:val="20"/>
              </w:rPr>
              <w:t>048 Educación Superior</w:t>
            </w:r>
          </w:p>
        </w:tc>
      </w:tr>
      <w:tr w:rsidR="00E34EF3" w:rsidRPr="00DC0E89" w14:paraId="4DB6C913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CDEC" w14:textId="77777777" w:rsidR="00E34EF3" w:rsidRPr="00DC0E89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C0E89">
              <w:rPr>
                <w:rFonts w:ascii="Arial" w:hAnsi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B094" w14:textId="77777777" w:rsidR="00E34EF3" w:rsidRPr="00DC0E89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C0E89">
              <w:rPr>
                <w:rFonts w:ascii="Arial" w:hAnsi="Arial"/>
                <w:bCs/>
                <w:sz w:val="20"/>
                <w:szCs w:val="20"/>
              </w:rPr>
              <w:t>0109 Educación Superior Universitaria.</w:t>
            </w:r>
          </w:p>
        </w:tc>
      </w:tr>
      <w:tr w:rsidR="00E34EF3" w:rsidRPr="00DC0E89" w14:paraId="24D39BB6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B74A" w14:textId="77777777" w:rsidR="00E34EF3" w:rsidRPr="00DC0E89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C0E89">
              <w:rPr>
                <w:rFonts w:ascii="Arial" w:hAnsi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8679" w14:textId="0A6E2397" w:rsidR="00E34EF3" w:rsidRPr="00DC0E89" w:rsidRDefault="000B48FD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0B48FD">
              <w:rPr>
                <w:rFonts w:ascii="Arial" w:hAnsi="Arial"/>
                <w:bCs/>
                <w:sz w:val="20"/>
                <w:szCs w:val="20"/>
              </w:rPr>
              <w:t>Servicio de Formación de Pre Grado en Educación Superior Universitaria</w:t>
            </w:r>
          </w:p>
        </w:tc>
      </w:tr>
      <w:tr w:rsidR="00E34EF3" w:rsidRPr="00DC0E89" w14:paraId="02100678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6118" w14:textId="77777777" w:rsidR="00E34EF3" w:rsidRPr="003B1C1D" w:rsidRDefault="00E34EF3" w:rsidP="00E34EF3">
            <w:pPr>
              <w:spacing w:after="0" w:line="240" w:lineRule="auto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92470F">
              <w:rPr>
                <w:rFonts w:ascii="Arial" w:hAnsi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69A" w14:textId="1D125ACC" w:rsidR="00E34EF3" w:rsidRPr="00DC0E89" w:rsidRDefault="003F78F1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C0E89">
              <w:rPr>
                <w:rFonts w:ascii="Arial" w:hAnsi="Arial"/>
                <w:bCs/>
                <w:sz w:val="20"/>
                <w:szCs w:val="20"/>
              </w:rPr>
              <w:t>Educación</w:t>
            </w:r>
            <w:r w:rsidR="00E34EF3" w:rsidRPr="00DC0E89">
              <w:rPr>
                <w:rFonts w:ascii="Arial" w:hAnsi="Arial"/>
                <w:bCs/>
                <w:sz w:val="20"/>
                <w:szCs w:val="20"/>
              </w:rPr>
              <w:t xml:space="preserve"> Superior Universitaria </w:t>
            </w:r>
            <w:r w:rsidR="003D37E1">
              <w:rPr>
                <w:rFonts w:ascii="Arial" w:hAnsi="Arial"/>
                <w:bCs/>
                <w:sz w:val="20"/>
                <w:szCs w:val="20"/>
              </w:rPr>
              <w:t>de nivel de Pregrado</w:t>
            </w:r>
          </w:p>
        </w:tc>
      </w:tr>
    </w:tbl>
    <w:p w14:paraId="3BD4D8E0" w14:textId="77777777" w:rsidR="00596CE6" w:rsidRPr="00DC0E89" w:rsidRDefault="00596CE6" w:rsidP="00596CE6">
      <w:pPr>
        <w:rPr>
          <w:rFonts w:ascii="Arial" w:hAnsi="Arial"/>
          <w:bCs/>
          <w:sz w:val="18"/>
          <w:szCs w:val="18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D4759" w:rsidRPr="005A66DA" w14:paraId="7617A589" w14:textId="77777777" w:rsidTr="00D046B0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22335722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90D474" w14:textId="77777777" w:rsidR="00136088" w:rsidRPr="00DC0E89" w:rsidRDefault="00136088" w:rsidP="00097198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PROGRAMA PRESUPUESTAL</w:t>
                  </w:r>
                </w:p>
              </w:tc>
            </w:tr>
          </w:tbl>
          <w:p w14:paraId="26A289E5" w14:textId="77777777" w:rsidR="00136088" w:rsidRPr="00DC0E89" w:rsidRDefault="00136088" w:rsidP="00097198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06276229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90E82A" w14:textId="77777777" w:rsidR="001F043D" w:rsidRPr="00DC0E89" w:rsidRDefault="004D3FB2" w:rsidP="00097198">
                  <w:pPr>
                    <w:pStyle w:val="Prrafodelista1"/>
                    <w:ind w:left="360" w:hanging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0E89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INDICADOR</w:t>
                  </w:r>
                </w:p>
              </w:tc>
            </w:tr>
          </w:tbl>
          <w:p w14:paraId="2FED7CA3" w14:textId="77777777" w:rsidR="00097198" w:rsidRPr="00DC0E89" w:rsidRDefault="00097198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44D34677" w14:textId="34F1918A" w:rsidR="00DC179E" w:rsidRPr="00DC0E89" w:rsidRDefault="00855C12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855C12">
              <w:rPr>
                <w:rFonts w:ascii="Arial" w:hAnsi="Arial"/>
                <w:bCs/>
                <w:sz w:val="20"/>
                <w:szCs w:val="20"/>
              </w:rPr>
              <w:t xml:space="preserve">Porcentaje de Escuelas Profesionales Públicas que cuentan con capacidad instalada inadecuada </w:t>
            </w:r>
            <w:r w:rsidR="005B3EEB" w:rsidRPr="003D37E1">
              <w:rPr>
                <w:rFonts w:ascii="Arial" w:hAnsi="Arial"/>
                <w:bCs/>
                <w:sz w:val="20"/>
                <w:szCs w:val="20"/>
              </w:rPr>
              <w:t>(P</w:t>
            </w:r>
            <w:r w:rsidR="00721846" w:rsidRPr="003D37E1">
              <w:rPr>
                <w:rFonts w:ascii="Arial" w:hAnsi="Arial"/>
                <w:bCs/>
                <w:sz w:val="20"/>
                <w:szCs w:val="20"/>
              </w:rPr>
              <w:t>E</w:t>
            </w:r>
            <w:r w:rsidR="00956AB4">
              <w:rPr>
                <w:rFonts w:ascii="Arial" w:hAnsi="Arial"/>
                <w:bCs/>
                <w:sz w:val="20"/>
                <w:szCs w:val="20"/>
              </w:rPr>
              <w:t>P</w:t>
            </w:r>
            <w:r w:rsidR="00721846" w:rsidRPr="003D37E1">
              <w:rPr>
                <w:rFonts w:ascii="Arial" w:hAnsi="Arial"/>
                <w:bCs/>
                <w:sz w:val="20"/>
                <w:szCs w:val="20"/>
              </w:rPr>
              <w:t>CI</w:t>
            </w:r>
            <w:r w:rsidR="00956AB4">
              <w:rPr>
                <w:rFonts w:ascii="Arial" w:hAnsi="Arial"/>
                <w:bCs/>
                <w:sz w:val="20"/>
                <w:szCs w:val="20"/>
              </w:rPr>
              <w:t>I</w:t>
            </w:r>
            <w:r w:rsidR="00097198" w:rsidRPr="003D37E1">
              <w:rPr>
                <w:rFonts w:ascii="Arial" w:hAnsi="Arial"/>
                <w:bCs/>
                <w:sz w:val="20"/>
                <w:szCs w:val="20"/>
              </w:rPr>
              <w:t>)</w:t>
            </w:r>
          </w:p>
          <w:p w14:paraId="7843277B" w14:textId="77777777" w:rsidR="00097198" w:rsidRPr="00DC0E89" w:rsidRDefault="00097198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39A628E2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4E9B3C" w14:textId="77777777" w:rsidR="00136088" w:rsidRPr="00DC0E89" w:rsidRDefault="004D3FB2" w:rsidP="00097198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ÁMBITO DE CONTROL</w:t>
                  </w:r>
                  <w:r w:rsidRPr="00DC0E89">
                    <w:rPr>
                      <w:rFonts w:ascii="Arial" w:hAnsi="Arial"/>
                      <w:bCs/>
                      <w:sz w:val="20"/>
                      <w:szCs w:val="20"/>
                      <w:lang w:val="es-MX"/>
                    </w:rPr>
                    <w:t xml:space="preserve"> </w:t>
                  </w:r>
                </w:p>
              </w:tc>
            </w:tr>
          </w:tbl>
          <w:p w14:paraId="367B4902" w14:textId="77777777" w:rsidR="00D23A4E" w:rsidRPr="00DC0E89" w:rsidRDefault="00D23A4E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23E5BADE" w14:textId="6431FD21" w:rsidR="009E57CC" w:rsidRPr="009F5977" w:rsidRDefault="00DB72C9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Escuelas P</w:t>
            </w:r>
            <w:r w:rsidR="00790CD1">
              <w:rPr>
                <w:rFonts w:ascii="Arial" w:hAnsi="Arial"/>
                <w:bCs/>
                <w:sz w:val="20"/>
                <w:szCs w:val="20"/>
              </w:rPr>
              <w:t xml:space="preserve">rofesionales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Públicas </w:t>
            </w:r>
            <w:r w:rsidR="00790CD1">
              <w:rPr>
                <w:rFonts w:ascii="Arial" w:hAnsi="Arial"/>
                <w:bCs/>
                <w:sz w:val="20"/>
                <w:szCs w:val="20"/>
              </w:rPr>
              <w:t>con capacidad instalada adecuada.</w:t>
            </w:r>
          </w:p>
          <w:p w14:paraId="3F3EABD8" w14:textId="77777777" w:rsidR="00721846" w:rsidRPr="00DC0E89" w:rsidRDefault="00721846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2F8EC2CC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534519" w14:textId="77777777" w:rsidR="00136088" w:rsidRPr="00DC0E89" w:rsidRDefault="00136088" w:rsidP="00097198">
                  <w:pPr>
                    <w:ind w:left="360"/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12D3E979" w14:textId="77777777" w:rsidR="00050F5B" w:rsidRPr="00DC0E89" w:rsidRDefault="00050F5B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6B086DE" w14:textId="6145709C" w:rsidR="00D23A4E" w:rsidRPr="00DC0E89" w:rsidRDefault="001D0205" w:rsidP="009E57C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C0E89">
              <w:rPr>
                <w:rFonts w:ascii="Arial" w:hAnsi="Arial"/>
                <w:sz w:val="20"/>
                <w:szCs w:val="20"/>
              </w:rPr>
              <w:t xml:space="preserve">Universidades </w:t>
            </w:r>
            <w:r w:rsidR="00DB72C9">
              <w:rPr>
                <w:rFonts w:ascii="Arial" w:hAnsi="Arial"/>
                <w:sz w:val="20"/>
                <w:szCs w:val="20"/>
              </w:rPr>
              <w:t>N</w:t>
            </w:r>
            <w:r w:rsidRPr="00DC0E89">
              <w:rPr>
                <w:rFonts w:ascii="Arial" w:hAnsi="Arial"/>
                <w:sz w:val="20"/>
                <w:szCs w:val="20"/>
              </w:rPr>
              <w:t>acionales</w:t>
            </w:r>
            <w:r w:rsidR="00790CD1">
              <w:rPr>
                <w:rFonts w:ascii="Arial" w:hAnsi="Arial"/>
                <w:sz w:val="20"/>
                <w:szCs w:val="20"/>
              </w:rPr>
              <w:t xml:space="preserve"> que participan en el PP0066.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46424AE0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32F088" w14:textId="77777777" w:rsidR="00136088" w:rsidRPr="00DC0E89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DEFINICIÓN</w:t>
                  </w:r>
                </w:p>
              </w:tc>
            </w:tr>
          </w:tbl>
          <w:p w14:paraId="783F596D" w14:textId="77777777" w:rsidR="00097198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885F9A8" w14:textId="2050ABFA" w:rsidR="00C76EDF" w:rsidRDefault="00C76EDF" w:rsidP="00C76EDF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A4E04">
              <w:rPr>
                <w:rFonts w:ascii="Arial" w:hAnsi="Arial"/>
                <w:b/>
                <w:sz w:val="20"/>
                <w:szCs w:val="20"/>
              </w:rPr>
              <w:t>Escuelas Profesionales:</w:t>
            </w:r>
            <w:r>
              <w:rPr>
                <w:rFonts w:ascii="Arial" w:hAnsi="Arial"/>
                <w:sz w:val="20"/>
                <w:szCs w:val="20"/>
              </w:rPr>
              <w:t xml:space="preserve"> L</w:t>
            </w:r>
            <w:r w:rsidRPr="003D37E1">
              <w:rPr>
                <w:rFonts w:ascii="Arial" w:hAnsi="Arial"/>
                <w:sz w:val="20"/>
                <w:szCs w:val="20"/>
              </w:rPr>
              <w:t>a Escuela Profesional es la organización encargada del diseño y actualización curricular de una carrera profesional, así como de dirigir su aplicación para la formación y capacitación pertinente, hasta  la obtención de grado académico y título profesional correspondiente</w:t>
            </w:r>
            <w:r>
              <w:rPr>
                <w:rStyle w:val="Refdenotaalpie"/>
                <w:rFonts w:ascii="Arial" w:hAnsi="Arial"/>
                <w:sz w:val="20"/>
                <w:szCs w:val="20"/>
              </w:rPr>
              <w:footnoteReference w:id="2"/>
            </w:r>
            <w:r w:rsidRPr="003D37E1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Constituyen la Unidad Productora de Servicios representativa del Servicio de Educación Superior Universitaria-Pregrado aprobada a través de la R.M N° 508-2017-MINEDU.</w:t>
            </w:r>
          </w:p>
          <w:p w14:paraId="5A48DE53" w14:textId="77777777" w:rsidR="00C76EDF" w:rsidRPr="00DC0E89" w:rsidRDefault="00C76EDF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1569393" w14:textId="112A670F" w:rsidR="003778DE" w:rsidRDefault="00DC179E" w:rsidP="003778DE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DC0E89">
              <w:rPr>
                <w:rFonts w:ascii="Arial" w:hAnsi="Arial"/>
                <w:sz w:val="20"/>
                <w:szCs w:val="20"/>
              </w:rPr>
              <w:t xml:space="preserve">Este indicador representa </w:t>
            </w:r>
            <w:r w:rsidR="003B1C1D">
              <w:rPr>
                <w:rFonts w:ascii="Arial" w:hAnsi="Arial"/>
                <w:sz w:val="20"/>
                <w:szCs w:val="20"/>
              </w:rPr>
              <w:t xml:space="preserve">la relación que existe entre las </w:t>
            </w:r>
            <w:r w:rsidR="00EE2BC5" w:rsidRPr="00DC0E89">
              <w:rPr>
                <w:rFonts w:ascii="Arial" w:hAnsi="Arial"/>
                <w:bCs/>
                <w:sz w:val="20"/>
                <w:szCs w:val="20"/>
              </w:rPr>
              <w:t xml:space="preserve"> Escuelas Profesionales</w:t>
            </w:r>
            <w:r w:rsidR="00973615">
              <w:rPr>
                <w:rFonts w:ascii="Arial" w:hAnsi="Arial"/>
                <w:bCs/>
                <w:sz w:val="20"/>
                <w:szCs w:val="20"/>
              </w:rPr>
              <w:t xml:space="preserve"> de gestión pública</w:t>
            </w:r>
            <w:r w:rsidR="003B1C1D">
              <w:rPr>
                <w:rFonts w:ascii="Arial" w:hAnsi="Arial"/>
                <w:bCs/>
                <w:sz w:val="20"/>
                <w:szCs w:val="20"/>
              </w:rPr>
              <w:t xml:space="preserve"> con capacidad instalada inadecuada</w:t>
            </w:r>
            <w:r w:rsidR="00973615">
              <w:rPr>
                <w:rFonts w:ascii="Arial" w:hAnsi="Arial"/>
                <w:bCs/>
                <w:sz w:val="20"/>
                <w:szCs w:val="20"/>
              </w:rPr>
              <w:t xml:space="preserve"> respecto al total</w:t>
            </w:r>
            <w:r w:rsidR="00EE2BC5" w:rsidRPr="00DC0E89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973615">
              <w:rPr>
                <w:rFonts w:ascii="Arial" w:hAnsi="Arial"/>
                <w:sz w:val="20"/>
                <w:szCs w:val="20"/>
              </w:rPr>
              <w:t xml:space="preserve"> </w:t>
            </w:r>
            <w:r w:rsidR="00790CD1">
              <w:rPr>
                <w:rFonts w:ascii="Arial" w:hAnsi="Arial"/>
                <w:sz w:val="20"/>
                <w:szCs w:val="20"/>
              </w:rPr>
              <w:t xml:space="preserve">de universidades públicas, </w:t>
            </w:r>
            <w:r w:rsidR="00973615">
              <w:rPr>
                <w:rFonts w:ascii="Arial" w:hAnsi="Arial"/>
                <w:sz w:val="20"/>
                <w:szCs w:val="20"/>
              </w:rPr>
              <w:t>cuya función es la</w:t>
            </w:r>
            <w:r w:rsidR="003778DE">
              <w:rPr>
                <w:rFonts w:ascii="Arial" w:hAnsi="Arial"/>
                <w:sz w:val="20"/>
                <w:szCs w:val="20"/>
              </w:rPr>
              <w:t xml:space="preserve"> </w:t>
            </w:r>
            <w:r w:rsidR="003778DE" w:rsidRPr="003B1C1D">
              <w:rPr>
                <w:rFonts w:ascii="Arial" w:hAnsi="Arial"/>
                <w:bCs/>
                <w:sz w:val="20"/>
                <w:szCs w:val="20"/>
              </w:rPr>
              <w:t>Formación Académica de Pregrad</w:t>
            </w:r>
            <w:r w:rsidR="00790CD1">
              <w:rPr>
                <w:rFonts w:ascii="Arial" w:hAnsi="Arial"/>
                <w:bCs/>
                <w:sz w:val="20"/>
                <w:szCs w:val="20"/>
              </w:rPr>
              <w:t>o</w:t>
            </w:r>
            <w:r w:rsidR="003778DE" w:rsidRPr="003B1C1D"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266D8390" w14:textId="77777777" w:rsidR="00DC3269" w:rsidRDefault="00DC3269" w:rsidP="003778DE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525CF351" w14:textId="5E9E59CF" w:rsidR="00DC3269" w:rsidRPr="00DC0E89" w:rsidRDefault="00DC3269" w:rsidP="003778DE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La capacidad instalada se encuent</w:t>
            </w:r>
            <w:r w:rsidR="00177163">
              <w:rPr>
                <w:rFonts w:ascii="Arial" w:hAnsi="Arial"/>
                <w:bCs/>
                <w:sz w:val="20"/>
                <w:szCs w:val="20"/>
              </w:rPr>
              <w:t>ra representada por los activos estratégicos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de infraestructura</w:t>
            </w:r>
            <w:r w:rsidR="00281EAD">
              <w:rPr>
                <w:rFonts w:ascii="Arial" w:hAnsi="Arial"/>
                <w:bCs/>
                <w:sz w:val="20"/>
                <w:szCs w:val="20"/>
              </w:rPr>
              <w:t xml:space="preserve"> que se utilizan en las escuelas profesionales para brindar el servicio de pregrado como </w:t>
            </w:r>
            <w:r w:rsidR="00177163">
              <w:rPr>
                <w:rFonts w:ascii="Arial" w:hAnsi="Arial"/>
                <w:bCs/>
                <w:sz w:val="20"/>
                <w:szCs w:val="20"/>
              </w:rPr>
              <w:t xml:space="preserve">espacios físicos, así como los activos estratégicos </w:t>
            </w:r>
            <w:r w:rsidR="002215C8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177163" w:rsidRPr="00177163">
              <w:rPr>
                <w:rFonts w:ascii="Arial" w:hAnsi="Arial"/>
                <w:bCs/>
                <w:sz w:val="20"/>
                <w:szCs w:val="20"/>
              </w:rPr>
              <w:t>del equipamiento y mobiliario.</w:t>
            </w:r>
          </w:p>
          <w:p w14:paraId="4DE24D99" w14:textId="77777777" w:rsidR="00973615" w:rsidRDefault="00973615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DC7BE2B" w14:textId="3D997C71" w:rsidR="00973615" w:rsidRPr="003D37E1" w:rsidRDefault="00973615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 considera a las escuelas profesionales con capacidad instalada inadecuada</w:t>
            </w:r>
            <w:r w:rsidR="00EF1DC8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cuando no cumplen con las normas técnicas vigentes o no cuentan con lo suficientes recursos para el desarrollo de un servicio de calidad</w:t>
            </w:r>
            <w:r w:rsidR="00956AB4">
              <w:rPr>
                <w:rFonts w:ascii="Arial" w:hAnsi="Arial"/>
                <w:sz w:val="20"/>
                <w:szCs w:val="20"/>
              </w:rPr>
              <w:t>.</w:t>
            </w:r>
          </w:p>
          <w:p w14:paraId="75ABA698" w14:textId="77777777" w:rsidR="00357486" w:rsidRPr="00DC0E89" w:rsidRDefault="00357486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099BD9D" w14:textId="0A81FEBD" w:rsidR="003778DE" w:rsidRPr="00177163" w:rsidRDefault="00DC179E" w:rsidP="00177163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DC0E89">
              <w:rPr>
                <w:rFonts w:ascii="Arial" w:hAnsi="Arial"/>
                <w:sz w:val="20"/>
                <w:szCs w:val="20"/>
              </w:rPr>
              <w:t xml:space="preserve">Entre los recursos de infraestructura </w:t>
            </w:r>
            <w:r w:rsidR="00830801" w:rsidRPr="00DC0E89">
              <w:rPr>
                <w:rFonts w:ascii="Arial" w:hAnsi="Arial"/>
                <w:sz w:val="20"/>
                <w:szCs w:val="20"/>
              </w:rPr>
              <w:t xml:space="preserve">de las escuelas profesionales </w:t>
            </w:r>
            <w:r w:rsidRPr="00DC0E89">
              <w:rPr>
                <w:rFonts w:ascii="Arial" w:hAnsi="Arial"/>
                <w:sz w:val="20"/>
                <w:szCs w:val="20"/>
              </w:rPr>
              <w:t xml:space="preserve">se hace mención a los siguientes: </w:t>
            </w:r>
            <w:r w:rsidR="00191329" w:rsidRPr="00177163">
              <w:rPr>
                <w:rFonts w:ascii="Arial" w:hAnsi="Arial"/>
                <w:sz w:val="20"/>
                <w:szCs w:val="20"/>
              </w:rPr>
              <w:t>Aulas Académicas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177163">
              <w:rPr>
                <w:rFonts w:ascii="Arial" w:hAnsi="Arial"/>
                <w:sz w:val="20"/>
                <w:szCs w:val="20"/>
              </w:rPr>
              <w:tab/>
            </w:r>
            <w:r w:rsidR="00191329" w:rsidRPr="00177163">
              <w:rPr>
                <w:rFonts w:ascii="Arial" w:hAnsi="Arial"/>
                <w:sz w:val="20"/>
                <w:szCs w:val="20"/>
              </w:rPr>
              <w:t>Aulas Magnas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177163">
              <w:rPr>
                <w:rFonts w:ascii="Arial" w:hAnsi="Arial"/>
                <w:sz w:val="20"/>
                <w:szCs w:val="20"/>
              </w:rPr>
              <w:tab/>
            </w:r>
            <w:r w:rsidR="00191329" w:rsidRPr="00177163">
              <w:rPr>
                <w:rFonts w:ascii="Arial" w:hAnsi="Arial"/>
                <w:sz w:val="20"/>
                <w:szCs w:val="20"/>
              </w:rPr>
              <w:t>Laboratorios Básicos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191329" w:rsidRPr="00177163">
              <w:rPr>
                <w:rFonts w:ascii="Arial" w:hAnsi="Arial"/>
                <w:sz w:val="20"/>
                <w:szCs w:val="20"/>
              </w:rPr>
              <w:t>Laboratorios Especializados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191329" w:rsidRPr="00177163">
              <w:rPr>
                <w:rFonts w:ascii="Arial" w:hAnsi="Arial"/>
                <w:sz w:val="20"/>
                <w:szCs w:val="20"/>
              </w:rPr>
              <w:t>Talleres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487581" w:rsidRPr="00177163">
              <w:rPr>
                <w:rFonts w:ascii="Arial" w:hAnsi="Arial"/>
                <w:sz w:val="20"/>
                <w:szCs w:val="20"/>
              </w:rPr>
              <w:t>Salas demostrativas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487581" w:rsidRPr="00177163">
              <w:rPr>
                <w:rFonts w:ascii="Arial" w:hAnsi="Arial"/>
                <w:sz w:val="20"/>
                <w:szCs w:val="20"/>
              </w:rPr>
              <w:t>Campos experimentales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487581" w:rsidRPr="00177163">
              <w:rPr>
                <w:rFonts w:ascii="Arial" w:hAnsi="Arial"/>
                <w:sz w:val="20"/>
                <w:szCs w:val="20"/>
              </w:rPr>
              <w:t>Plantas Piloto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177163">
              <w:rPr>
                <w:rFonts w:ascii="Arial" w:hAnsi="Arial"/>
                <w:sz w:val="20"/>
                <w:szCs w:val="20"/>
              </w:rPr>
              <w:tab/>
            </w:r>
            <w:r w:rsidR="00191329" w:rsidRPr="00177163">
              <w:rPr>
                <w:rFonts w:ascii="Arial" w:hAnsi="Arial"/>
                <w:sz w:val="20"/>
                <w:szCs w:val="20"/>
              </w:rPr>
              <w:t>Biblioteca Especializada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177163">
              <w:rPr>
                <w:rFonts w:ascii="Arial" w:hAnsi="Arial"/>
                <w:sz w:val="20"/>
                <w:szCs w:val="20"/>
              </w:rPr>
              <w:tab/>
            </w:r>
            <w:r w:rsidR="00191329" w:rsidRPr="00177163">
              <w:rPr>
                <w:rFonts w:ascii="Arial" w:hAnsi="Arial"/>
                <w:sz w:val="20"/>
                <w:szCs w:val="20"/>
              </w:rPr>
              <w:t>Centro de Documentación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191329" w:rsidRPr="00177163">
              <w:rPr>
                <w:rFonts w:ascii="Arial" w:hAnsi="Arial"/>
                <w:sz w:val="20"/>
                <w:szCs w:val="20"/>
              </w:rPr>
              <w:t>Centro de Recursos</w:t>
            </w:r>
            <w:r w:rsidR="00177163" w:rsidRP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191329" w:rsidRPr="00177163">
              <w:rPr>
                <w:rFonts w:ascii="Arial" w:hAnsi="Arial"/>
                <w:sz w:val="20"/>
                <w:szCs w:val="20"/>
              </w:rPr>
              <w:t>Centro de Computo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 </w:t>
            </w:r>
            <w:r w:rsidR="00177163">
              <w:rPr>
                <w:rFonts w:ascii="Arial" w:hAnsi="Arial"/>
                <w:sz w:val="20"/>
                <w:szCs w:val="20"/>
              </w:rPr>
              <w:tab/>
            </w:r>
            <w:r w:rsidR="00191329" w:rsidRPr="00177163">
              <w:rPr>
                <w:rFonts w:ascii="Arial" w:hAnsi="Arial"/>
                <w:sz w:val="20"/>
                <w:szCs w:val="20"/>
              </w:rPr>
              <w:t>Auditorio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191329" w:rsidRPr="00177163">
              <w:rPr>
                <w:rFonts w:ascii="Arial" w:hAnsi="Arial"/>
                <w:sz w:val="20"/>
                <w:szCs w:val="20"/>
              </w:rPr>
              <w:lastRenderedPageBreak/>
              <w:t>Sala de Docentes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191329" w:rsidRPr="00177163">
              <w:rPr>
                <w:rFonts w:ascii="Arial" w:hAnsi="Arial"/>
                <w:sz w:val="20"/>
                <w:szCs w:val="20"/>
              </w:rPr>
              <w:t>Oficina Administrativa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191329" w:rsidRPr="00177163">
              <w:rPr>
                <w:rFonts w:ascii="Arial" w:hAnsi="Arial"/>
                <w:sz w:val="20"/>
                <w:szCs w:val="20"/>
              </w:rPr>
              <w:t>SSHH Personal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191329" w:rsidRPr="00177163">
              <w:rPr>
                <w:rFonts w:ascii="Arial" w:hAnsi="Arial"/>
                <w:sz w:val="20"/>
                <w:szCs w:val="20"/>
              </w:rPr>
              <w:t>SSHH  Estudiantes</w:t>
            </w:r>
            <w:r w:rsidR="00177163">
              <w:rPr>
                <w:rFonts w:ascii="Arial" w:hAnsi="Arial"/>
                <w:sz w:val="20"/>
                <w:szCs w:val="20"/>
              </w:rPr>
              <w:t>, Depósito/</w:t>
            </w:r>
            <w:r w:rsidR="00191329" w:rsidRPr="00177163">
              <w:rPr>
                <w:rFonts w:ascii="Arial" w:hAnsi="Arial"/>
                <w:sz w:val="20"/>
                <w:szCs w:val="20"/>
              </w:rPr>
              <w:t>Almacén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191329" w:rsidRPr="00177163">
              <w:rPr>
                <w:rFonts w:ascii="Arial" w:hAnsi="Arial"/>
                <w:sz w:val="20"/>
                <w:szCs w:val="20"/>
              </w:rPr>
              <w:t>Otros Ambientes</w:t>
            </w:r>
            <w:r w:rsidR="00177163">
              <w:rPr>
                <w:rFonts w:ascii="Arial" w:hAnsi="Arial"/>
                <w:sz w:val="20"/>
                <w:szCs w:val="20"/>
              </w:rPr>
              <w:t xml:space="preserve">, </w:t>
            </w:r>
            <w:r w:rsidR="00281EAD" w:rsidRPr="00177163">
              <w:rPr>
                <w:rFonts w:ascii="Arial" w:hAnsi="Arial"/>
                <w:sz w:val="20"/>
                <w:szCs w:val="20"/>
              </w:rPr>
              <w:t>Obras exteriores, entre otros.</w:t>
            </w:r>
          </w:p>
          <w:p w14:paraId="150BEB4E" w14:textId="77777777" w:rsidR="003778DE" w:rsidRDefault="003778DE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42CA4006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209A40" w14:textId="77777777" w:rsidR="00136088" w:rsidRPr="00DC0E89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DIMENSIÓN DE DESEMPEÑO</w:t>
                  </w:r>
                </w:p>
              </w:tc>
            </w:tr>
          </w:tbl>
          <w:p w14:paraId="6406F78D" w14:textId="77777777" w:rsidR="00293FB4" w:rsidRPr="00DC0E89" w:rsidRDefault="00293FB4" w:rsidP="00293FB4">
            <w:pPr>
              <w:spacing w:after="120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7A53C019" w14:textId="0D7355FC" w:rsidR="00293FB4" w:rsidRPr="00DC0E89" w:rsidRDefault="00293FB4" w:rsidP="00293FB4">
            <w:pPr>
              <w:spacing w:after="120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DC0E89">
              <w:rPr>
                <w:rFonts w:ascii="Arial" w:hAnsi="Arial"/>
                <w:sz w:val="20"/>
                <w:szCs w:val="20"/>
                <w:lang w:val="es-MX"/>
              </w:rPr>
              <w:t xml:space="preserve">El indicador es </w:t>
            </w:r>
            <w:r w:rsidR="00956AB4">
              <w:rPr>
                <w:rFonts w:ascii="Arial" w:hAnsi="Arial"/>
                <w:sz w:val="20"/>
                <w:szCs w:val="20"/>
                <w:lang w:val="es-MX"/>
              </w:rPr>
              <w:t xml:space="preserve">asociado a una </w:t>
            </w:r>
            <w:r w:rsidRPr="00DC0E89">
              <w:rPr>
                <w:rFonts w:ascii="Arial" w:hAnsi="Arial"/>
                <w:sz w:val="20"/>
                <w:szCs w:val="20"/>
                <w:lang w:val="es-MX"/>
              </w:rPr>
              <w:t>brecha de calidad</w:t>
            </w:r>
          </w:p>
          <w:p w14:paraId="79FD8427" w14:textId="77777777" w:rsidR="00097198" w:rsidRPr="00DC0E89" w:rsidRDefault="00097198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292E4529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C3BCCA" w14:textId="77777777" w:rsidR="00136088" w:rsidRPr="00DC0E89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6F1FFD13" w14:textId="77777777" w:rsidR="00293FB4" w:rsidRPr="00DC0E89" w:rsidRDefault="00293FB4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3FF65953" w14:textId="77777777" w:rsidR="00855C12" w:rsidRDefault="00855C12" w:rsidP="00855C12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010BB063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F7F8AB" w14:textId="77777777" w:rsidR="00136088" w:rsidRPr="00DC0E89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bookmarkStart w:id="0" w:name="_GoBack"/>
                  <w:bookmarkEnd w:id="0"/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JUSTIFICACIÓN</w:t>
                  </w:r>
                </w:p>
              </w:tc>
            </w:tr>
          </w:tbl>
          <w:p w14:paraId="387A6789" w14:textId="77777777" w:rsidR="00097198" w:rsidRPr="00DC0E89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AE2B4A2" w14:textId="6D61B67B" w:rsidR="00097198" w:rsidRPr="00DC0E89" w:rsidRDefault="00050F5B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DC0E89">
              <w:rPr>
                <w:rFonts w:ascii="Arial" w:hAnsi="Arial"/>
                <w:sz w:val="20"/>
                <w:szCs w:val="20"/>
              </w:rPr>
              <w:t>Es</w:t>
            </w:r>
            <w:r w:rsidR="00C12E45" w:rsidRPr="00DC0E89">
              <w:rPr>
                <w:rFonts w:ascii="Arial" w:hAnsi="Arial"/>
                <w:sz w:val="20"/>
                <w:szCs w:val="20"/>
              </w:rPr>
              <w:t xml:space="preserve">te indicador permite medir directamente la brecha de </w:t>
            </w:r>
            <w:r w:rsidR="00322817" w:rsidRPr="00DC0E89">
              <w:rPr>
                <w:rFonts w:ascii="Arial" w:hAnsi="Arial"/>
                <w:sz w:val="20"/>
                <w:szCs w:val="20"/>
              </w:rPr>
              <w:t xml:space="preserve">calidad </w:t>
            </w:r>
            <w:r w:rsidR="004527D1" w:rsidRPr="00DC0E89">
              <w:rPr>
                <w:rFonts w:ascii="Arial" w:hAnsi="Arial"/>
                <w:sz w:val="20"/>
                <w:szCs w:val="20"/>
              </w:rPr>
              <w:t>en la infraestructura</w:t>
            </w:r>
            <w:r w:rsidR="00BA2EF1" w:rsidRPr="00DC0E89">
              <w:rPr>
                <w:rFonts w:ascii="Arial" w:hAnsi="Arial"/>
                <w:sz w:val="20"/>
                <w:szCs w:val="20"/>
              </w:rPr>
              <w:t xml:space="preserve"> que brinda el </w:t>
            </w:r>
            <w:r w:rsidR="00C12E45" w:rsidRPr="00DC0E89">
              <w:rPr>
                <w:rFonts w:ascii="Arial" w:hAnsi="Arial"/>
                <w:sz w:val="20"/>
                <w:szCs w:val="20"/>
              </w:rPr>
              <w:t xml:space="preserve"> </w:t>
            </w:r>
            <w:r w:rsidR="00BA2EF1" w:rsidRPr="00DC0E89">
              <w:rPr>
                <w:rFonts w:ascii="Arial" w:hAnsi="Arial"/>
                <w:bCs/>
                <w:sz w:val="20"/>
                <w:szCs w:val="20"/>
              </w:rPr>
              <w:t xml:space="preserve">Servicio de </w:t>
            </w:r>
            <w:r w:rsidR="001440A8">
              <w:rPr>
                <w:rFonts w:ascii="Arial" w:hAnsi="Arial"/>
                <w:bCs/>
                <w:sz w:val="20"/>
                <w:szCs w:val="20"/>
              </w:rPr>
              <w:t xml:space="preserve">Formación Académica </w:t>
            </w:r>
            <w:r w:rsidR="00BA2EF1" w:rsidRPr="00DC0E89">
              <w:rPr>
                <w:rFonts w:ascii="Arial" w:hAnsi="Arial"/>
                <w:bCs/>
                <w:sz w:val="20"/>
                <w:szCs w:val="20"/>
              </w:rPr>
              <w:t>de Pregrado</w:t>
            </w:r>
            <w:r w:rsidR="00BA2EF1" w:rsidRPr="00DC0E89">
              <w:rPr>
                <w:rFonts w:ascii="Arial" w:hAnsi="Arial"/>
                <w:sz w:val="20"/>
                <w:szCs w:val="20"/>
              </w:rPr>
              <w:t xml:space="preserve"> </w:t>
            </w:r>
            <w:r w:rsidR="004527D1" w:rsidRPr="00DC0E89">
              <w:rPr>
                <w:rFonts w:ascii="Arial" w:hAnsi="Arial"/>
                <w:sz w:val="20"/>
                <w:szCs w:val="20"/>
              </w:rPr>
              <w:t>para el cumplimiento de funciones y obligaciones de la Universidad Pública,</w:t>
            </w:r>
            <w:r w:rsidR="00322817" w:rsidRPr="00DC0E89">
              <w:rPr>
                <w:rFonts w:ascii="Arial" w:hAnsi="Arial"/>
                <w:sz w:val="20"/>
                <w:szCs w:val="20"/>
              </w:rPr>
              <w:t xml:space="preserve"> </w:t>
            </w:r>
            <w:r w:rsidR="00C12E45" w:rsidRPr="00DC0E89">
              <w:rPr>
                <w:rFonts w:ascii="Arial" w:hAnsi="Arial"/>
                <w:sz w:val="20"/>
                <w:szCs w:val="20"/>
              </w:rPr>
              <w:t>y consiguientemente el cierre está vinculado directamente con la ejec</w:t>
            </w:r>
            <w:r w:rsidR="00A40D78" w:rsidRPr="00DC0E89">
              <w:rPr>
                <w:rFonts w:ascii="Arial" w:hAnsi="Arial"/>
                <w:sz w:val="20"/>
                <w:szCs w:val="20"/>
              </w:rPr>
              <w:t>ución de proyectos de inversión, inversiones de optimización, de ampliación marginal, de reposición y de rehabilitación.</w:t>
            </w:r>
          </w:p>
          <w:p w14:paraId="76388330" w14:textId="77777777" w:rsidR="00097198" w:rsidRPr="00DC0E89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39BA232F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0DCE8E" w14:textId="77777777" w:rsidR="00136088" w:rsidRPr="00DC0E89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34E496D2" w14:textId="77777777" w:rsidR="00290F07" w:rsidRPr="00DC0E89" w:rsidRDefault="00290F07" w:rsidP="001D020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07ABA79" w14:textId="60477DE4" w:rsidR="001D0205" w:rsidRPr="00DC0E89" w:rsidRDefault="00357486" w:rsidP="001D020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DC0E89">
              <w:rPr>
                <w:rFonts w:ascii="Arial" w:hAnsi="Arial"/>
                <w:sz w:val="20"/>
                <w:szCs w:val="20"/>
              </w:rPr>
              <w:t>Pendiente</w:t>
            </w:r>
          </w:p>
          <w:p w14:paraId="3F509909" w14:textId="77777777" w:rsidR="00357486" w:rsidRPr="00DC0E89" w:rsidRDefault="00357486" w:rsidP="001D020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693989A5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0BC963" w14:textId="77777777" w:rsidR="00136088" w:rsidRPr="00DC0E89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PRECISIONES TÉCNICAS</w:t>
                  </w:r>
                </w:p>
              </w:tc>
            </w:tr>
          </w:tbl>
          <w:p w14:paraId="5F625EFF" w14:textId="77777777" w:rsidR="00290F07" w:rsidRPr="00DC0E89" w:rsidRDefault="00290F07" w:rsidP="001D020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BE35798" w14:textId="31ED8EB3" w:rsidR="001D0205" w:rsidRPr="00DC0E89" w:rsidRDefault="00357486" w:rsidP="001D020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DC0E89">
              <w:rPr>
                <w:rFonts w:ascii="Arial" w:hAnsi="Arial"/>
                <w:sz w:val="20"/>
                <w:szCs w:val="20"/>
              </w:rPr>
              <w:t>Pendiente</w:t>
            </w:r>
          </w:p>
          <w:p w14:paraId="3BA43ED5" w14:textId="77777777" w:rsidR="00357486" w:rsidRPr="00DC0E89" w:rsidRDefault="00357486" w:rsidP="001D020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747D159A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0B3856" w14:textId="77777777" w:rsidR="00136088" w:rsidRPr="00DC0E89" w:rsidRDefault="00136088" w:rsidP="00097198">
                  <w:pPr>
                    <w:keepNext/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MÉTODO DE C</w:t>
                  </w:r>
                  <w:r w:rsidR="00D72BBB"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Á</w:t>
                  </w: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LCULO</w:t>
                  </w:r>
                </w:p>
              </w:tc>
            </w:tr>
          </w:tbl>
          <w:p w14:paraId="7DB2B764" w14:textId="77777777" w:rsidR="00097198" w:rsidRPr="00DC0E89" w:rsidRDefault="00097198" w:rsidP="00097198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C3280AC" w14:textId="61F601C7" w:rsidR="00357486" w:rsidRPr="00DC0E89" w:rsidRDefault="00357486" w:rsidP="00097198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DC0E89">
              <w:rPr>
                <w:rFonts w:ascii="Arial" w:hAnsi="Arial"/>
                <w:sz w:val="20"/>
                <w:szCs w:val="20"/>
              </w:rPr>
              <w:t>Para efectos de cálculo</w:t>
            </w:r>
            <w:r w:rsidR="00906601">
              <w:rPr>
                <w:rFonts w:ascii="Arial" w:hAnsi="Arial"/>
                <w:sz w:val="20"/>
                <w:szCs w:val="20"/>
              </w:rPr>
              <w:t>,</w:t>
            </w:r>
            <w:r w:rsidRPr="00DC0E89">
              <w:rPr>
                <w:rFonts w:ascii="Arial" w:hAnsi="Arial"/>
                <w:sz w:val="20"/>
                <w:szCs w:val="20"/>
              </w:rPr>
              <w:t xml:space="preserve"> el indicador</w:t>
            </w:r>
            <w:r w:rsidR="00906601">
              <w:rPr>
                <w:rFonts w:ascii="Arial" w:hAnsi="Arial"/>
                <w:sz w:val="20"/>
                <w:szCs w:val="20"/>
              </w:rPr>
              <w:t xml:space="preserve"> </w:t>
            </w:r>
            <w:r w:rsidRPr="00DC0E89">
              <w:rPr>
                <w:rFonts w:ascii="Arial" w:hAnsi="Arial"/>
                <w:sz w:val="20"/>
                <w:szCs w:val="20"/>
              </w:rPr>
              <w:t>será medid</w:t>
            </w:r>
            <w:r w:rsidR="00906601">
              <w:rPr>
                <w:rFonts w:ascii="Arial" w:hAnsi="Arial"/>
                <w:sz w:val="20"/>
                <w:szCs w:val="20"/>
              </w:rPr>
              <w:t>o</w:t>
            </w:r>
            <w:r w:rsidRPr="00DC0E89">
              <w:rPr>
                <w:rFonts w:ascii="Arial" w:hAnsi="Arial"/>
                <w:sz w:val="20"/>
                <w:szCs w:val="20"/>
              </w:rPr>
              <w:t xml:space="preserve"> de la siguiente forma:</w:t>
            </w:r>
          </w:p>
          <w:p w14:paraId="487F1E60" w14:textId="77777777" w:rsidR="00357486" w:rsidRPr="00DC0E89" w:rsidRDefault="00357486" w:rsidP="00097198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FBD2530" w14:textId="68A8788F" w:rsidR="001440A8" w:rsidRPr="003B1C1D" w:rsidRDefault="00A11443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color w:val="FF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PEPCII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/>
                        <w:color w:val="FF0000"/>
                        <w:sz w:val="24"/>
                        <w:szCs w:val="24"/>
                        <w:lang w:val="es-PE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lang w:val="es-PE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NEPCII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TEP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  <w:p w14:paraId="264873E3" w14:textId="77777777" w:rsidR="001440A8" w:rsidRPr="003B1C1D" w:rsidRDefault="001440A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5A937DE" w14:textId="77777777" w:rsidR="00097198" w:rsidRPr="00DC0E89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07D10A48" w14:textId="6B19DB4B" w:rsidR="001440A8" w:rsidRDefault="00A11443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PEPCII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DC179E" w:rsidRPr="0092470F">
              <w:rPr>
                <w:rFonts w:ascii="Arial" w:hAnsi="Arial"/>
                <w:sz w:val="20"/>
                <w:szCs w:val="20"/>
              </w:rPr>
              <w:t xml:space="preserve"> </w:t>
            </w:r>
            <w:r w:rsidR="00906601" w:rsidRPr="003D37E1">
              <w:rPr>
                <w:rFonts w:ascii="Arial" w:hAnsi="Arial"/>
                <w:bCs/>
                <w:sz w:val="20"/>
                <w:szCs w:val="20"/>
              </w:rPr>
              <w:t xml:space="preserve">Porcentaje de Escuelas Profesionales </w:t>
            </w:r>
            <w:r w:rsidR="00DB72C9">
              <w:rPr>
                <w:rFonts w:ascii="Arial" w:hAnsi="Arial"/>
                <w:bCs/>
                <w:sz w:val="20"/>
                <w:szCs w:val="20"/>
              </w:rPr>
              <w:t>P</w:t>
            </w:r>
            <w:r w:rsidR="00906601">
              <w:rPr>
                <w:rFonts w:ascii="Arial" w:hAnsi="Arial"/>
                <w:bCs/>
                <w:sz w:val="20"/>
                <w:szCs w:val="20"/>
              </w:rPr>
              <w:t xml:space="preserve">úblicas </w:t>
            </w:r>
            <w:r w:rsidR="00906601" w:rsidRPr="003D37E1">
              <w:rPr>
                <w:rFonts w:ascii="Arial" w:hAnsi="Arial"/>
                <w:bCs/>
                <w:sz w:val="20"/>
                <w:szCs w:val="20"/>
              </w:rPr>
              <w:t xml:space="preserve">que cuentan con </w:t>
            </w:r>
            <w:r w:rsidR="00906601" w:rsidRPr="003B1C1D">
              <w:rPr>
                <w:rFonts w:ascii="Arial" w:hAnsi="Arial"/>
                <w:bCs/>
                <w:sz w:val="20"/>
                <w:szCs w:val="20"/>
              </w:rPr>
              <w:t>capacidad instalada</w:t>
            </w:r>
            <w:r w:rsidR="00906601">
              <w:rPr>
                <w:rFonts w:ascii="Arial" w:hAnsi="Arial"/>
                <w:bCs/>
                <w:sz w:val="20"/>
                <w:szCs w:val="20"/>
              </w:rPr>
              <w:t xml:space="preserve"> inadecuada</w:t>
            </w:r>
            <w:r w:rsidR="00906601" w:rsidRPr="003D37E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1440A8" w:rsidRPr="0092470F">
              <w:rPr>
                <w:rFonts w:ascii="Arial" w:hAnsi="Arial"/>
                <w:sz w:val="20"/>
                <w:szCs w:val="20"/>
              </w:rPr>
              <w:t>en el tiempo t</w:t>
            </w:r>
            <w:r w:rsidR="001440A8" w:rsidRPr="00721846" w:rsidDel="00721846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79841C55" w14:textId="77777777" w:rsidR="001440A8" w:rsidRDefault="001440A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07E66096" w14:textId="534D1B11" w:rsidR="00DC179E" w:rsidRPr="00DC0E89" w:rsidRDefault="00A11443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NEPCII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DC179E" w:rsidRPr="00DC0E89">
              <w:rPr>
                <w:rFonts w:ascii="Arial" w:hAnsi="Arial"/>
                <w:sz w:val="20"/>
                <w:szCs w:val="20"/>
              </w:rPr>
              <w:t xml:space="preserve"> </w:t>
            </w:r>
            <w:r w:rsidR="00922609">
              <w:rPr>
                <w:rFonts w:ascii="Arial" w:hAnsi="Arial"/>
                <w:sz w:val="20"/>
                <w:szCs w:val="20"/>
              </w:rPr>
              <w:t>Número</w:t>
            </w:r>
            <w:r w:rsidR="00922609" w:rsidRPr="001440A8">
              <w:rPr>
                <w:rFonts w:ascii="Arial" w:hAnsi="Arial"/>
                <w:sz w:val="20"/>
                <w:szCs w:val="20"/>
              </w:rPr>
              <w:t xml:space="preserve"> de Escuelas Profesionales </w:t>
            </w:r>
            <w:r w:rsidR="00DB72C9">
              <w:rPr>
                <w:rFonts w:ascii="Arial" w:hAnsi="Arial"/>
                <w:sz w:val="20"/>
                <w:szCs w:val="20"/>
              </w:rPr>
              <w:t>P</w:t>
            </w:r>
            <w:r w:rsidR="00906601">
              <w:rPr>
                <w:rFonts w:ascii="Arial" w:hAnsi="Arial"/>
                <w:sz w:val="20"/>
                <w:szCs w:val="20"/>
              </w:rPr>
              <w:t xml:space="preserve">úblicas </w:t>
            </w:r>
            <w:r w:rsidR="00922609">
              <w:rPr>
                <w:rFonts w:ascii="Arial" w:hAnsi="Arial"/>
                <w:sz w:val="20"/>
                <w:szCs w:val="20"/>
              </w:rPr>
              <w:t>con capacidad instalada inadecuada</w:t>
            </w:r>
            <w:r w:rsidR="00922609" w:rsidDel="00922609">
              <w:rPr>
                <w:rFonts w:ascii="Arial" w:hAnsi="Arial"/>
                <w:sz w:val="20"/>
                <w:szCs w:val="20"/>
              </w:rPr>
              <w:t xml:space="preserve"> </w:t>
            </w:r>
            <w:r w:rsidR="00DC179E" w:rsidRPr="00DC0E89">
              <w:rPr>
                <w:rFonts w:ascii="Arial" w:hAnsi="Arial"/>
                <w:sz w:val="20"/>
                <w:szCs w:val="20"/>
              </w:rPr>
              <w:t>en el tiempo t.</w:t>
            </w:r>
          </w:p>
          <w:p w14:paraId="2C141F81" w14:textId="77777777" w:rsidR="00097198" w:rsidRPr="00DC0E89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B095682" w14:textId="1F01A902" w:rsidR="00DC179E" w:rsidRPr="00DC0E89" w:rsidRDefault="00A11443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TEP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DC179E" w:rsidRPr="00DC0E89">
              <w:rPr>
                <w:rFonts w:ascii="Arial" w:hAnsi="Arial"/>
                <w:sz w:val="20"/>
                <w:szCs w:val="20"/>
              </w:rPr>
              <w:t xml:space="preserve"> </w:t>
            </w:r>
            <w:r w:rsidR="006F4275" w:rsidRPr="006F4275">
              <w:rPr>
                <w:rFonts w:ascii="Arial" w:hAnsi="Arial"/>
                <w:sz w:val="20"/>
                <w:szCs w:val="20"/>
              </w:rPr>
              <w:t xml:space="preserve">Cantidad total de </w:t>
            </w:r>
            <w:r w:rsidR="00E571FA">
              <w:rPr>
                <w:rFonts w:ascii="Arial" w:hAnsi="Arial"/>
                <w:sz w:val="20"/>
                <w:szCs w:val="20"/>
              </w:rPr>
              <w:t>E</w:t>
            </w:r>
            <w:r w:rsidR="006F4275" w:rsidRPr="006F4275">
              <w:rPr>
                <w:rFonts w:ascii="Arial" w:hAnsi="Arial"/>
                <w:sz w:val="20"/>
                <w:szCs w:val="20"/>
              </w:rPr>
              <w:t>scuelas Profesionales</w:t>
            </w:r>
            <w:r w:rsidR="00DB72C9">
              <w:rPr>
                <w:rFonts w:ascii="Arial" w:hAnsi="Arial"/>
                <w:sz w:val="20"/>
                <w:szCs w:val="20"/>
              </w:rPr>
              <w:t xml:space="preserve"> P</w:t>
            </w:r>
            <w:r w:rsidR="00E571FA">
              <w:rPr>
                <w:rFonts w:ascii="Arial" w:hAnsi="Arial"/>
                <w:sz w:val="20"/>
                <w:szCs w:val="20"/>
              </w:rPr>
              <w:t>ública</w:t>
            </w:r>
            <w:r w:rsidR="006F4275" w:rsidRPr="006F4275">
              <w:rPr>
                <w:rFonts w:ascii="Arial" w:hAnsi="Arial"/>
                <w:sz w:val="20"/>
                <w:szCs w:val="20"/>
              </w:rPr>
              <w:t xml:space="preserve"> que brindan el servicio de Formación Académica de Pregrado en las Universidade</w:t>
            </w:r>
            <w:r w:rsidR="00E571FA">
              <w:rPr>
                <w:rFonts w:ascii="Arial" w:hAnsi="Arial"/>
                <w:sz w:val="20"/>
                <w:szCs w:val="20"/>
              </w:rPr>
              <w:t>s</w:t>
            </w:r>
            <w:r w:rsidR="00DC179E" w:rsidRPr="00DC0E89">
              <w:rPr>
                <w:rFonts w:ascii="Arial" w:hAnsi="Arial"/>
                <w:sz w:val="20"/>
                <w:szCs w:val="20"/>
              </w:rPr>
              <w:t xml:space="preserve"> en el tiempo t.</w:t>
            </w:r>
          </w:p>
          <w:p w14:paraId="50486702" w14:textId="77777777" w:rsidR="00097198" w:rsidRPr="00DC0E89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7F1899C" w14:textId="08098763" w:rsidR="00357486" w:rsidRPr="00DC0E89" w:rsidRDefault="00DC179E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DC0E89">
              <w:rPr>
                <w:rFonts w:ascii="Arial" w:hAnsi="Arial"/>
                <w:sz w:val="20"/>
                <w:szCs w:val="20"/>
              </w:rPr>
              <w:t xml:space="preserve">El indicador puede ser aplicado </w:t>
            </w:r>
            <w:r w:rsidR="006F4275">
              <w:rPr>
                <w:rFonts w:ascii="Arial" w:hAnsi="Arial"/>
                <w:sz w:val="20"/>
                <w:szCs w:val="20"/>
              </w:rPr>
              <w:t>a Nivel Nacional, en cada Universidad o en cada Facultad</w:t>
            </w:r>
            <w:r w:rsidRPr="00DC0E89">
              <w:rPr>
                <w:rFonts w:ascii="Arial" w:hAnsi="Arial"/>
                <w:sz w:val="20"/>
                <w:szCs w:val="20"/>
              </w:rPr>
              <w:t xml:space="preserve"> específic</w:t>
            </w:r>
            <w:r w:rsidR="006F4275">
              <w:rPr>
                <w:rFonts w:ascii="Arial" w:hAnsi="Arial"/>
                <w:sz w:val="20"/>
                <w:szCs w:val="20"/>
              </w:rPr>
              <w:t>a</w:t>
            </w:r>
            <w:r w:rsidRPr="00DC0E89">
              <w:rPr>
                <w:rFonts w:ascii="Arial" w:hAnsi="Arial"/>
                <w:sz w:val="20"/>
                <w:szCs w:val="20"/>
              </w:rPr>
              <w:t>.</w:t>
            </w:r>
          </w:p>
          <w:p w14:paraId="7838EAC1" w14:textId="77777777" w:rsidR="00357486" w:rsidRPr="00DC0E89" w:rsidRDefault="00357486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2EC54E18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92DA16" w14:textId="77777777" w:rsidR="00136088" w:rsidRPr="00DC0E89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PERIODICIDAD DE LAS MEDICIONES</w:t>
                  </w:r>
                </w:p>
              </w:tc>
            </w:tr>
          </w:tbl>
          <w:p w14:paraId="6251A8DD" w14:textId="77777777" w:rsidR="00097198" w:rsidRPr="00DC0E89" w:rsidRDefault="00097198" w:rsidP="00357486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71C7FE53" w14:textId="0A21BC8D" w:rsidR="00816E42" w:rsidRPr="00DC0E89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DC0E89">
              <w:rPr>
                <w:rFonts w:ascii="Arial" w:hAnsi="Arial"/>
                <w:sz w:val="20"/>
                <w:szCs w:val="18"/>
              </w:rPr>
              <w:t>Pendiente</w:t>
            </w:r>
          </w:p>
          <w:p w14:paraId="2074A067" w14:textId="77777777" w:rsidR="00816E42" w:rsidRPr="00DC0E89" w:rsidRDefault="00816E42" w:rsidP="00357486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1A6C771A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A58C6" w14:textId="77777777" w:rsidR="00136088" w:rsidRPr="00DC0E89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FUENTE DE DATOS</w:t>
                  </w:r>
                </w:p>
              </w:tc>
            </w:tr>
          </w:tbl>
          <w:p w14:paraId="4E21EBBF" w14:textId="77777777" w:rsidR="00097198" w:rsidRPr="00DC0E89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065DED49" w14:textId="4B4B2B43" w:rsidR="006F4275" w:rsidRPr="00DC0E89" w:rsidRDefault="006F4275" w:rsidP="006F4275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DC0E89">
              <w:rPr>
                <w:rFonts w:ascii="Arial" w:hAnsi="Arial"/>
                <w:sz w:val="20"/>
                <w:szCs w:val="18"/>
              </w:rPr>
              <w:t>Pendiente</w:t>
            </w:r>
          </w:p>
          <w:p w14:paraId="1EB65FB1" w14:textId="77777777" w:rsidR="00097198" w:rsidRPr="00DC0E89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6FBD92BC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81CDB6" w14:textId="77777777" w:rsidR="00136088" w:rsidRPr="00DC0E89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BASE DE DATOS</w:t>
                  </w:r>
                </w:p>
              </w:tc>
            </w:tr>
          </w:tbl>
          <w:p w14:paraId="56B32B69" w14:textId="77777777" w:rsidR="001D0205" w:rsidRPr="00DC0E89" w:rsidRDefault="001D0205" w:rsidP="00357486">
            <w:pPr>
              <w:spacing w:after="0" w:line="240" w:lineRule="auto"/>
              <w:jc w:val="both"/>
              <w:rPr>
                <w:rFonts w:ascii="Arial" w:hAnsi="Arial"/>
                <w:iCs/>
                <w:szCs w:val="20"/>
                <w:lang w:val="es-MX"/>
              </w:rPr>
            </w:pPr>
          </w:p>
          <w:p w14:paraId="32953163" w14:textId="1DC79277" w:rsidR="00816E42" w:rsidRPr="00DC0E89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DC0E89">
              <w:rPr>
                <w:rFonts w:ascii="Arial" w:hAnsi="Arial"/>
                <w:sz w:val="20"/>
                <w:szCs w:val="18"/>
              </w:rPr>
              <w:t>Pendiente</w:t>
            </w:r>
          </w:p>
          <w:p w14:paraId="20947F6E" w14:textId="77777777" w:rsidR="001D0205" w:rsidRPr="00DC0E89" w:rsidRDefault="001D0205" w:rsidP="00357486">
            <w:pPr>
              <w:spacing w:after="0" w:line="240" w:lineRule="auto"/>
              <w:jc w:val="both"/>
              <w:rPr>
                <w:rFonts w:ascii="Arial" w:hAnsi="Arial"/>
                <w:iCs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41E11ACA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E957FA" w14:textId="77777777" w:rsidR="00136088" w:rsidRPr="00DC0E89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73CD92B8" w14:textId="77777777" w:rsidR="00097198" w:rsidRPr="00DC0E89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308286CB" w14:textId="7C277F80" w:rsidR="00816E42" w:rsidRPr="00DC0E89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DC0E89">
              <w:rPr>
                <w:rFonts w:ascii="Arial" w:hAnsi="Arial"/>
                <w:sz w:val="20"/>
                <w:szCs w:val="18"/>
              </w:rPr>
              <w:t>Pendiente</w:t>
            </w:r>
          </w:p>
          <w:p w14:paraId="1A79ED98" w14:textId="77777777" w:rsidR="00097198" w:rsidRPr="00DC0E89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DC0E89" w14:paraId="5D537465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C9D82" w14:textId="77777777" w:rsidR="00136088" w:rsidRPr="00DC0E89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DC0E8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SINTAXIS</w:t>
                  </w:r>
                </w:p>
              </w:tc>
            </w:tr>
          </w:tbl>
          <w:p w14:paraId="65A51D4E" w14:textId="77777777" w:rsidR="00136088" w:rsidRPr="00DC0E89" w:rsidRDefault="0013608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0A6238A5" w14:textId="2246EE92" w:rsidR="00816E42" w:rsidRPr="00DC0E89" w:rsidRDefault="00816E42" w:rsidP="00357486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18"/>
              </w:rPr>
            </w:pPr>
            <w:r w:rsidRPr="00DC0E89">
              <w:rPr>
                <w:rFonts w:ascii="Arial" w:hAnsi="Arial"/>
                <w:sz w:val="20"/>
                <w:szCs w:val="18"/>
              </w:rPr>
              <w:t>Pendiente</w:t>
            </w:r>
          </w:p>
          <w:p w14:paraId="7523B65B" w14:textId="77777777" w:rsidR="005D4759" w:rsidRPr="005A66DA" w:rsidRDefault="005D4759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43668F1" w14:textId="69849BDE" w:rsidR="009E00AB" w:rsidRPr="00D046B0" w:rsidRDefault="009E00AB">
      <w:pPr>
        <w:rPr>
          <w:rFonts w:ascii="Arial" w:hAnsi="Arial"/>
          <w:bCs/>
          <w:sz w:val="18"/>
          <w:szCs w:val="18"/>
        </w:rPr>
      </w:pPr>
    </w:p>
    <w:p w14:paraId="366495E1" w14:textId="77777777" w:rsidR="00F87B05" w:rsidRPr="00D046B0" w:rsidRDefault="00F87B05" w:rsidP="003A56DB">
      <w:pPr>
        <w:jc w:val="center"/>
        <w:rPr>
          <w:rFonts w:ascii="Arial" w:hAnsi="Arial"/>
          <w:sz w:val="18"/>
          <w:szCs w:val="18"/>
        </w:rPr>
      </w:pPr>
    </w:p>
    <w:sectPr w:rsidR="00F87B05" w:rsidRPr="00D046B0" w:rsidSect="00A45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349D7" w14:textId="77777777" w:rsidR="00A11443" w:rsidRDefault="00A11443" w:rsidP="00ED2218">
      <w:pPr>
        <w:spacing w:after="0" w:line="240" w:lineRule="auto"/>
      </w:pPr>
      <w:r>
        <w:separator/>
      </w:r>
    </w:p>
  </w:endnote>
  <w:endnote w:type="continuationSeparator" w:id="0">
    <w:p w14:paraId="61C08817" w14:textId="77777777" w:rsidR="00A11443" w:rsidRDefault="00A11443" w:rsidP="00ED2218">
      <w:pPr>
        <w:spacing w:after="0" w:line="240" w:lineRule="auto"/>
      </w:pPr>
      <w:r>
        <w:continuationSeparator/>
      </w:r>
    </w:p>
  </w:endnote>
  <w:endnote w:type="continuationNotice" w:id="1">
    <w:p w14:paraId="3B500C01" w14:textId="77777777" w:rsidR="00A11443" w:rsidRDefault="00A11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53EF7" w14:textId="77777777" w:rsidR="00A11443" w:rsidRDefault="00A11443" w:rsidP="00ED2218">
      <w:pPr>
        <w:spacing w:after="0" w:line="240" w:lineRule="auto"/>
      </w:pPr>
      <w:r>
        <w:separator/>
      </w:r>
    </w:p>
  </w:footnote>
  <w:footnote w:type="continuationSeparator" w:id="0">
    <w:p w14:paraId="2B308759" w14:textId="77777777" w:rsidR="00A11443" w:rsidRDefault="00A11443" w:rsidP="00ED2218">
      <w:pPr>
        <w:spacing w:after="0" w:line="240" w:lineRule="auto"/>
      </w:pPr>
      <w:r>
        <w:continuationSeparator/>
      </w:r>
    </w:p>
  </w:footnote>
  <w:footnote w:type="continuationNotice" w:id="1">
    <w:p w14:paraId="478551D1" w14:textId="77777777" w:rsidR="00A11443" w:rsidRDefault="00A11443">
      <w:pPr>
        <w:spacing w:after="0" w:line="240" w:lineRule="auto"/>
      </w:pPr>
    </w:p>
  </w:footnote>
  <w:footnote w:id="2">
    <w:p w14:paraId="51E26252" w14:textId="5B075502" w:rsidR="00C76EDF" w:rsidRPr="00C76EDF" w:rsidRDefault="00C76EDF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Art. 36 de la Ley N° 30220, Ley Universitaria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6EDA"/>
    <w:multiLevelType w:val="hybridMultilevel"/>
    <w:tmpl w:val="C222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3D71"/>
    <w:multiLevelType w:val="hybridMultilevel"/>
    <w:tmpl w:val="D33E6C74"/>
    <w:lvl w:ilvl="0" w:tplc="8022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07B6F"/>
    <w:multiLevelType w:val="hybridMultilevel"/>
    <w:tmpl w:val="9F168E28"/>
    <w:lvl w:ilvl="0" w:tplc="580056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370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24E8"/>
    <w:multiLevelType w:val="hybridMultilevel"/>
    <w:tmpl w:val="2D2447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50FBC"/>
    <w:multiLevelType w:val="hybridMultilevel"/>
    <w:tmpl w:val="6584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74568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33845"/>
    <w:multiLevelType w:val="hybridMultilevel"/>
    <w:tmpl w:val="0E2C070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0461"/>
    <w:multiLevelType w:val="hybridMultilevel"/>
    <w:tmpl w:val="C596B088"/>
    <w:lvl w:ilvl="0" w:tplc="E476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A2727"/>
    <w:multiLevelType w:val="hybridMultilevel"/>
    <w:tmpl w:val="792E7FF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E5961"/>
    <w:multiLevelType w:val="hybridMultilevel"/>
    <w:tmpl w:val="20966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11A3D"/>
    <w:multiLevelType w:val="hybridMultilevel"/>
    <w:tmpl w:val="80E8BEC2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B94566D"/>
    <w:multiLevelType w:val="hybridMultilevel"/>
    <w:tmpl w:val="97BA5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57816"/>
    <w:multiLevelType w:val="hybridMultilevel"/>
    <w:tmpl w:val="74660F30"/>
    <w:lvl w:ilvl="0" w:tplc="57CA5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060F5"/>
    <w:multiLevelType w:val="hybridMultilevel"/>
    <w:tmpl w:val="C1FA4CEC"/>
    <w:lvl w:ilvl="0" w:tplc="F98AD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3F6D99"/>
    <w:multiLevelType w:val="hybridMultilevel"/>
    <w:tmpl w:val="94E6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D5D8F"/>
    <w:multiLevelType w:val="hybridMultilevel"/>
    <w:tmpl w:val="DEB8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16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4"/>
    <w:rsid w:val="00003AA7"/>
    <w:rsid w:val="00013257"/>
    <w:rsid w:val="00013F3B"/>
    <w:rsid w:val="0002711C"/>
    <w:rsid w:val="00030DCD"/>
    <w:rsid w:val="00050F5B"/>
    <w:rsid w:val="00052971"/>
    <w:rsid w:val="00054C28"/>
    <w:rsid w:val="00071859"/>
    <w:rsid w:val="000876D1"/>
    <w:rsid w:val="00097198"/>
    <w:rsid w:val="000A4A3D"/>
    <w:rsid w:val="000B48FD"/>
    <w:rsid w:val="000D1B2A"/>
    <w:rsid w:val="000D7467"/>
    <w:rsid w:val="000E0437"/>
    <w:rsid w:val="000E3EEB"/>
    <w:rsid w:val="000E5DF1"/>
    <w:rsid w:val="0010075A"/>
    <w:rsid w:val="00107DDB"/>
    <w:rsid w:val="00107E50"/>
    <w:rsid w:val="00120A3D"/>
    <w:rsid w:val="00133228"/>
    <w:rsid w:val="00133388"/>
    <w:rsid w:val="00133CC9"/>
    <w:rsid w:val="00136088"/>
    <w:rsid w:val="001440A8"/>
    <w:rsid w:val="001477B4"/>
    <w:rsid w:val="00156C86"/>
    <w:rsid w:val="0016311D"/>
    <w:rsid w:val="00177163"/>
    <w:rsid w:val="00184704"/>
    <w:rsid w:val="001866ED"/>
    <w:rsid w:val="00191329"/>
    <w:rsid w:val="001A57F6"/>
    <w:rsid w:val="001C3CBB"/>
    <w:rsid w:val="001D0205"/>
    <w:rsid w:val="001D0701"/>
    <w:rsid w:val="001E07AA"/>
    <w:rsid w:val="001E2601"/>
    <w:rsid w:val="001F043D"/>
    <w:rsid w:val="0020333B"/>
    <w:rsid w:val="00217F7C"/>
    <w:rsid w:val="002215C8"/>
    <w:rsid w:val="00222E51"/>
    <w:rsid w:val="00265A3F"/>
    <w:rsid w:val="00267B1D"/>
    <w:rsid w:val="00273B71"/>
    <w:rsid w:val="00281EAD"/>
    <w:rsid w:val="00284E47"/>
    <w:rsid w:val="00290E54"/>
    <w:rsid w:val="00290F07"/>
    <w:rsid w:val="00292D41"/>
    <w:rsid w:val="00293FB4"/>
    <w:rsid w:val="00296FE1"/>
    <w:rsid w:val="002B582B"/>
    <w:rsid w:val="002B64E4"/>
    <w:rsid w:val="002C036C"/>
    <w:rsid w:val="002D5A7F"/>
    <w:rsid w:val="002E326A"/>
    <w:rsid w:val="002E5C61"/>
    <w:rsid w:val="002F31A3"/>
    <w:rsid w:val="002F5D9B"/>
    <w:rsid w:val="002F79DE"/>
    <w:rsid w:val="003037D0"/>
    <w:rsid w:val="0030508D"/>
    <w:rsid w:val="00306BE5"/>
    <w:rsid w:val="00322817"/>
    <w:rsid w:val="00341A2E"/>
    <w:rsid w:val="00341C9B"/>
    <w:rsid w:val="00357486"/>
    <w:rsid w:val="00357691"/>
    <w:rsid w:val="00371D17"/>
    <w:rsid w:val="003778DE"/>
    <w:rsid w:val="003A56DB"/>
    <w:rsid w:val="003B01D8"/>
    <w:rsid w:val="003B1C1D"/>
    <w:rsid w:val="003B4482"/>
    <w:rsid w:val="003C12DF"/>
    <w:rsid w:val="003D37E1"/>
    <w:rsid w:val="003F0A33"/>
    <w:rsid w:val="003F78F1"/>
    <w:rsid w:val="004026D5"/>
    <w:rsid w:val="00424BD9"/>
    <w:rsid w:val="00431A0B"/>
    <w:rsid w:val="00432203"/>
    <w:rsid w:val="00437413"/>
    <w:rsid w:val="00437B89"/>
    <w:rsid w:val="004527D1"/>
    <w:rsid w:val="00471D68"/>
    <w:rsid w:val="00474928"/>
    <w:rsid w:val="0048376F"/>
    <w:rsid w:val="00487581"/>
    <w:rsid w:val="004876C4"/>
    <w:rsid w:val="004B0186"/>
    <w:rsid w:val="004C1D52"/>
    <w:rsid w:val="004C50E8"/>
    <w:rsid w:val="004C6BF4"/>
    <w:rsid w:val="004C6E6A"/>
    <w:rsid w:val="004D3FB2"/>
    <w:rsid w:val="004D52B5"/>
    <w:rsid w:val="004E0F58"/>
    <w:rsid w:val="004F027D"/>
    <w:rsid w:val="0050211C"/>
    <w:rsid w:val="00503FBD"/>
    <w:rsid w:val="0050587D"/>
    <w:rsid w:val="00505A99"/>
    <w:rsid w:val="00506203"/>
    <w:rsid w:val="0053469B"/>
    <w:rsid w:val="00551300"/>
    <w:rsid w:val="005545B2"/>
    <w:rsid w:val="005924C3"/>
    <w:rsid w:val="00596CE6"/>
    <w:rsid w:val="005A5A5D"/>
    <w:rsid w:val="005A66DA"/>
    <w:rsid w:val="005B1BE5"/>
    <w:rsid w:val="005B3EEB"/>
    <w:rsid w:val="005C44F1"/>
    <w:rsid w:val="005D0422"/>
    <w:rsid w:val="005D4759"/>
    <w:rsid w:val="005F6A33"/>
    <w:rsid w:val="00601C3C"/>
    <w:rsid w:val="006271FD"/>
    <w:rsid w:val="00627B64"/>
    <w:rsid w:val="00627DB0"/>
    <w:rsid w:val="006331BD"/>
    <w:rsid w:val="006340D7"/>
    <w:rsid w:val="00665697"/>
    <w:rsid w:val="00670BCB"/>
    <w:rsid w:val="006A0EC6"/>
    <w:rsid w:val="006A52B4"/>
    <w:rsid w:val="006B1092"/>
    <w:rsid w:val="006B3FE7"/>
    <w:rsid w:val="006B4FFF"/>
    <w:rsid w:val="006F2471"/>
    <w:rsid w:val="006F4275"/>
    <w:rsid w:val="006F5FC9"/>
    <w:rsid w:val="00713E87"/>
    <w:rsid w:val="00715D39"/>
    <w:rsid w:val="00721846"/>
    <w:rsid w:val="0072627E"/>
    <w:rsid w:val="00727060"/>
    <w:rsid w:val="0077590E"/>
    <w:rsid w:val="00775E2B"/>
    <w:rsid w:val="00790CD1"/>
    <w:rsid w:val="007A4E04"/>
    <w:rsid w:val="007E0034"/>
    <w:rsid w:val="007E02C4"/>
    <w:rsid w:val="007E0BB4"/>
    <w:rsid w:val="007E3DFD"/>
    <w:rsid w:val="007E51ED"/>
    <w:rsid w:val="00816E42"/>
    <w:rsid w:val="008267D1"/>
    <w:rsid w:val="00830801"/>
    <w:rsid w:val="00850FE9"/>
    <w:rsid w:val="0085431F"/>
    <w:rsid w:val="00855C12"/>
    <w:rsid w:val="008832BD"/>
    <w:rsid w:val="00885A97"/>
    <w:rsid w:val="00897CEC"/>
    <w:rsid w:val="008A48E6"/>
    <w:rsid w:val="008B5AF2"/>
    <w:rsid w:val="008E6C85"/>
    <w:rsid w:val="00906601"/>
    <w:rsid w:val="00917622"/>
    <w:rsid w:val="00917A0C"/>
    <w:rsid w:val="00922609"/>
    <w:rsid w:val="0092470F"/>
    <w:rsid w:val="00925DC8"/>
    <w:rsid w:val="00955311"/>
    <w:rsid w:val="00956AB4"/>
    <w:rsid w:val="0097234A"/>
    <w:rsid w:val="00973615"/>
    <w:rsid w:val="0098341A"/>
    <w:rsid w:val="009861C7"/>
    <w:rsid w:val="009C05A9"/>
    <w:rsid w:val="009C1A93"/>
    <w:rsid w:val="009E00AB"/>
    <w:rsid w:val="009E3E6F"/>
    <w:rsid w:val="009E4717"/>
    <w:rsid w:val="009E57CC"/>
    <w:rsid w:val="009F5977"/>
    <w:rsid w:val="00A06F52"/>
    <w:rsid w:val="00A06F8F"/>
    <w:rsid w:val="00A11443"/>
    <w:rsid w:val="00A14522"/>
    <w:rsid w:val="00A3772A"/>
    <w:rsid w:val="00A40D78"/>
    <w:rsid w:val="00A453CE"/>
    <w:rsid w:val="00A507F4"/>
    <w:rsid w:val="00A6444B"/>
    <w:rsid w:val="00A6550C"/>
    <w:rsid w:val="00A75B09"/>
    <w:rsid w:val="00A84FBB"/>
    <w:rsid w:val="00A90995"/>
    <w:rsid w:val="00A92D72"/>
    <w:rsid w:val="00AA2AD5"/>
    <w:rsid w:val="00AA5671"/>
    <w:rsid w:val="00AB6384"/>
    <w:rsid w:val="00AD5687"/>
    <w:rsid w:val="00AF4F32"/>
    <w:rsid w:val="00B046E0"/>
    <w:rsid w:val="00B0565F"/>
    <w:rsid w:val="00B07CF9"/>
    <w:rsid w:val="00B107D2"/>
    <w:rsid w:val="00B11653"/>
    <w:rsid w:val="00B15163"/>
    <w:rsid w:val="00B2118B"/>
    <w:rsid w:val="00B51312"/>
    <w:rsid w:val="00B52BB5"/>
    <w:rsid w:val="00B74C64"/>
    <w:rsid w:val="00B7578F"/>
    <w:rsid w:val="00B80789"/>
    <w:rsid w:val="00B94D24"/>
    <w:rsid w:val="00BA2EF1"/>
    <w:rsid w:val="00BA71C1"/>
    <w:rsid w:val="00BD198C"/>
    <w:rsid w:val="00BF04B5"/>
    <w:rsid w:val="00BF32CC"/>
    <w:rsid w:val="00BF547B"/>
    <w:rsid w:val="00C12E45"/>
    <w:rsid w:val="00C17FA7"/>
    <w:rsid w:val="00C24E42"/>
    <w:rsid w:val="00C271EE"/>
    <w:rsid w:val="00C349A5"/>
    <w:rsid w:val="00C40D4A"/>
    <w:rsid w:val="00C4222A"/>
    <w:rsid w:val="00C66487"/>
    <w:rsid w:val="00C677B0"/>
    <w:rsid w:val="00C76EDF"/>
    <w:rsid w:val="00C83A6A"/>
    <w:rsid w:val="00CB3E59"/>
    <w:rsid w:val="00CB5054"/>
    <w:rsid w:val="00CC1EBE"/>
    <w:rsid w:val="00CE1C3B"/>
    <w:rsid w:val="00CF231A"/>
    <w:rsid w:val="00D046B0"/>
    <w:rsid w:val="00D05888"/>
    <w:rsid w:val="00D05FEA"/>
    <w:rsid w:val="00D17E31"/>
    <w:rsid w:val="00D21E55"/>
    <w:rsid w:val="00D223F4"/>
    <w:rsid w:val="00D23A4E"/>
    <w:rsid w:val="00D44764"/>
    <w:rsid w:val="00D57DD3"/>
    <w:rsid w:val="00D679BC"/>
    <w:rsid w:val="00D717D3"/>
    <w:rsid w:val="00D72BBB"/>
    <w:rsid w:val="00D736AE"/>
    <w:rsid w:val="00DA662B"/>
    <w:rsid w:val="00DB0E95"/>
    <w:rsid w:val="00DB72C9"/>
    <w:rsid w:val="00DC0E89"/>
    <w:rsid w:val="00DC179E"/>
    <w:rsid w:val="00DC3269"/>
    <w:rsid w:val="00DD2717"/>
    <w:rsid w:val="00DE042A"/>
    <w:rsid w:val="00DE538D"/>
    <w:rsid w:val="00DF1D3B"/>
    <w:rsid w:val="00E2394E"/>
    <w:rsid w:val="00E34EF3"/>
    <w:rsid w:val="00E571FA"/>
    <w:rsid w:val="00E70626"/>
    <w:rsid w:val="00EC060D"/>
    <w:rsid w:val="00EC15EA"/>
    <w:rsid w:val="00EC5000"/>
    <w:rsid w:val="00EC601D"/>
    <w:rsid w:val="00ED2218"/>
    <w:rsid w:val="00ED739C"/>
    <w:rsid w:val="00EE2BC5"/>
    <w:rsid w:val="00EE713F"/>
    <w:rsid w:val="00EF0A6B"/>
    <w:rsid w:val="00EF1DC8"/>
    <w:rsid w:val="00F01305"/>
    <w:rsid w:val="00F1169D"/>
    <w:rsid w:val="00F14E4B"/>
    <w:rsid w:val="00F262D7"/>
    <w:rsid w:val="00F3167F"/>
    <w:rsid w:val="00F40047"/>
    <w:rsid w:val="00F44C56"/>
    <w:rsid w:val="00F513E4"/>
    <w:rsid w:val="00F63B09"/>
    <w:rsid w:val="00F65F74"/>
    <w:rsid w:val="00F87B05"/>
    <w:rsid w:val="00F92CB3"/>
    <w:rsid w:val="00F96662"/>
    <w:rsid w:val="00FA6F13"/>
    <w:rsid w:val="00FB6F01"/>
    <w:rsid w:val="00FC076A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9248"/>
  <w15:chartTrackingRefBased/>
  <w15:docId w15:val="{9348BF7D-AFFC-4079-A780-623AA86F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56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9E47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221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D2218"/>
    <w:rPr>
      <w:vertAlign w:val="superscript"/>
    </w:rPr>
  </w:style>
  <w:style w:type="character" w:styleId="Hipervnculo">
    <w:name w:val="Hyperlink"/>
    <w:uiPriority w:val="99"/>
    <w:unhideWhenUsed/>
    <w:rsid w:val="009E00A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13608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sid w:val="00D72BBB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77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E2B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7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E2B"/>
    <w:rPr>
      <w:sz w:val="22"/>
      <w:szCs w:val="22"/>
      <w:lang w:val="es-ES" w:eastAsia="en-US"/>
    </w:rPr>
  </w:style>
  <w:style w:type="paragraph" w:styleId="Revisin">
    <w:name w:val="Revision"/>
    <w:hidden/>
    <w:uiPriority w:val="99"/>
    <w:semiHidden/>
    <w:rsid w:val="00775E2B"/>
    <w:rPr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F0A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0A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0A33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A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0A33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BA20-7B63-4FA7-95EF-08578C20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https://www.mef.gob.pe/contenidos/presu_publ/ppr/guia_seg_publicacion.pdf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 Coronado, Christian Julio</dc:creator>
  <cp:keywords/>
  <dc:description/>
  <cp:lastModifiedBy>PAULO DANIEL MENDOZA BARRANTES</cp:lastModifiedBy>
  <cp:revision>2</cp:revision>
  <cp:lastPrinted>2018-10-05T15:50:00Z</cp:lastPrinted>
  <dcterms:created xsi:type="dcterms:W3CDTF">2019-02-15T19:21:00Z</dcterms:created>
  <dcterms:modified xsi:type="dcterms:W3CDTF">2019-02-15T19:21:00Z</dcterms:modified>
</cp:coreProperties>
</file>