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5E545" w14:textId="7638B64C" w:rsidR="00C533FD" w:rsidRPr="00977416" w:rsidRDefault="000950BF" w:rsidP="00C533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</w:rPr>
        <w:t>INDICADOR 17</w:t>
      </w:r>
      <w:r w:rsidR="007B2FAF" w:rsidRPr="00977416">
        <w:rPr>
          <w:rFonts w:ascii="Arial" w:hAnsi="Arial" w:cs="Arial"/>
          <w:b/>
          <w:sz w:val="28"/>
          <w:szCs w:val="20"/>
          <w:lang w:val="es-PE"/>
        </w:rPr>
        <w:t>:</w:t>
      </w:r>
      <w:r w:rsidR="00C533FD" w:rsidRPr="00977416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C26CEE" w:rsidRPr="00C26CEE">
        <w:rPr>
          <w:rFonts w:ascii="Arial" w:hAnsi="Arial" w:cs="Arial"/>
          <w:sz w:val="20"/>
          <w:szCs w:val="20"/>
        </w:rPr>
        <w:t>Porcentaje de personas no matriculadas en Educación Superior Pedagógica respecto a la demanda potencial</w:t>
      </w:r>
    </w:p>
    <w:p w14:paraId="3EC29936" w14:textId="77777777" w:rsidR="00C533FD" w:rsidRPr="00977416" w:rsidRDefault="00C533FD" w:rsidP="00C533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  <w:lang w:val="es-MX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566"/>
      </w:tblGrid>
      <w:tr w:rsidR="007B2FAF" w:rsidRPr="00A156B3" w14:paraId="448CD1C4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35C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Nombre de la entidad pública: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DD40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16">
              <w:rPr>
                <w:rFonts w:ascii="Arial" w:hAnsi="Arial" w:cs="Arial"/>
                <w:bCs/>
                <w:sz w:val="20"/>
                <w:szCs w:val="20"/>
              </w:rPr>
              <w:t>Ministerio de Educación</w:t>
            </w:r>
          </w:p>
        </w:tc>
      </w:tr>
      <w:tr w:rsidR="007B2FAF" w:rsidRPr="00A156B3" w14:paraId="13BD4004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2D3C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3940" w14:textId="2BF6E084" w:rsidR="007B2FAF" w:rsidRPr="00977416" w:rsidRDefault="00C26CEE" w:rsidP="009774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15.02.19</w:t>
            </w:r>
          </w:p>
        </w:tc>
      </w:tr>
      <w:tr w:rsidR="007B2FAF" w:rsidRPr="00A156B3" w14:paraId="5B00C219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55B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Sector: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6DF8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16">
              <w:rPr>
                <w:rFonts w:ascii="Arial" w:hAnsi="Arial" w:cs="Arial"/>
                <w:bCs/>
                <w:sz w:val="20"/>
                <w:szCs w:val="20"/>
              </w:rPr>
              <w:t>Educación</w:t>
            </w:r>
          </w:p>
        </w:tc>
      </w:tr>
      <w:tr w:rsidR="007B2FAF" w:rsidRPr="00A156B3" w14:paraId="08A368D8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E5A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Función: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614C" w14:textId="4F49EE86" w:rsidR="007B2FAF" w:rsidRPr="00977416" w:rsidRDefault="000D2F13" w:rsidP="00C533F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16">
              <w:rPr>
                <w:rFonts w:ascii="Arial" w:hAnsi="Arial" w:cs="Arial"/>
                <w:bCs/>
                <w:sz w:val="20"/>
                <w:szCs w:val="20"/>
              </w:rPr>
              <w:t>22 E</w:t>
            </w:r>
            <w:r w:rsidR="007B2FAF" w:rsidRPr="00977416">
              <w:rPr>
                <w:rFonts w:ascii="Arial" w:hAnsi="Arial" w:cs="Arial"/>
                <w:bCs/>
                <w:sz w:val="20"/>
                <w:szCs w:val="20"/>
              </w:rPr>
              <w:t>ducación</w:t>
            </w:r>
          </w:p>
        </w:tc>
      </w:tr>
      <w:tr w:rsidR="007B2FAF" w:rsidRPr="00A156B3" w14:paraId="02C3D85A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DDD6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División funcional: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63DD" w14:textId="26193816" w:rsidR="007B2FAF" w:rsidRPr="00977416" w:rsidRDefault="00C26CEE" w:rsidP="00C533F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048</w:t>
            </w:r>
            <w:r w:rsidR="000D2F13" w:rsidRPr="00977416"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ducación Superior</w:t>
            </w:r>
          </w:p>
        </w:tc>
      </w:tr>
      <w:tr w:rsidR="007B2FAF" w:rsidRPr="00A156B3" w14:paraId="2392C097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979D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Grupo funcional: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E3D" w14:textId="0656A0A7" w:rsidR="007B2FAF" w:rsidRPr="00977416" w:rsidRDefault="007B2FAF" w:rsidP="000D2F1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16">
              <w:rPr>
                <w:rFonts w:ascii="Arial" w:hAnsi="Arial" w:cs="Arial"/>
                <w:bCs/>
                <w:sz w:val="20"/>
                <w:szCs w:val="20"/>
              </w:rPr>
              <w:t xml:space="preserve">0108 </w:t>
            </w:r>
            <w:r w:rsidR="000D2F13" w:rsidRPr="0097741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977416">
              <w:rPr>
                <w:rFonts w:ascii="Arial" w:hAnsi="Arial" w:cs="Arial"/>
                <w:bCs/>
                <w:sz w:val="20"/>
                <w:szCs w:val="20"/>
              </w:rPr>
              <w:t>ducación Superior no Universitaria</w:t>
            </w:r>
          </w:p>
        </w:tc>
      </w:tr>
      <w:tr w:rsidR="007B2FAF" w:rsidRPr="00A156B3" w14:paraId="2ABF61AB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1FF2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Servicio público asociado: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E81" w14:textId="336E3B2F" w:rsidR="007B2FAF" w:rsidRPr="00977416" w:rsidRDefault="00E11EDB" w:rsidP="00CC5E6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Servicio</w:t>
            </w:r>
            <w:r w:rsidR="000D2F13" w:rsidRPr="00977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5E63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0D2F13" w:rsidRPr="00977416">
              <w:rPr>
                <w:rFonts w:ascii="Arial" w:hAnsi="Arial" w:cs="Arial"/>
                <w:bCs/>
                <w:sz w:val="20"/>
                <w:szCs w:val="20"/>
              </w:rPr>
              <w:t>Educa</w:t>
            </w:r>
            <w:r w:rsidR="00CC5E63">
              <w:rPr>
                <w:rFonts w:ascii="Arial" w:hAnsi="Arial" w:cs="Arial"/>
                <w:bCs/>
                <w:sz w:val="20"/>
                <w:szCs w:val="20"/>
              </w:rPr>
              <w:t>ción Pedagógica</w:t>
            </w:r>
          </w:p>
        </w:tc>
      </w:tr>
      <w:tr w:rsidR="007B2FAF" w:rsidRPr="00A156B3" w14:paraId="2104B632" w14:textId="77777777" w:rsidTr="00977416">
        <w:trPr>
          <w:trHeight w:val="22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98B1" w14:textId="77777777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7416">
              <w:rPr>
                <w:rFonts w:ascii="Arial" w:hAnsi="Arial" w:cs="Arial"/>
                <w:b/>
                <w:sz w:val="20"/>
                <w:szCs w:val="20"/>
              </w:rPr>
              <w:t>Tipología del proyecto: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8149" w14:textId="7E04FA5D" w:rsidR="007B2FAF" w:rsidRPr="00977416" w:rsidRDefault="007B2FAF" w:rsidP="00C533F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7416">
              <w:rPr>
                <w:rFonts w:ascii="Arial" w:hAnsi="Arial" w:cs="Arial"/>
                <w:bCs/>
                <w:sz w:val="20"/>
                <w:szCs w:val="20"/>
              </w:rPr>
              <w:t xml:space="preserve">Educación Superior </w:t>
            </w:r>
            <w:r w:rsidR="008C7064" w:rsidRPr="00977416">
              <w:rPr>
                <w:rFonts w:ascii="Arial" w:hAnsi="Arial" w:cs="Arial"/>
                <w:bCs/>
                <w:sz w:val="20"/>
                <w:szCs w:val="20"/>
              </w:rPr>
              <w:t>Pedagógica</w:t>
            </w:r>
          </w:p>
        </w:tc>
      </w:tr>
    </w:tbl>
    <w:p w14:paraId="62ADECF5" w14:textId="77777777" w:rsidR="00C533FD" w:rsidRPr="00977416" w:rsidRDefault="00C533FD" w:rsidP="00C533FD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52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5"/>
      </w:tblGrid>
      <w:tr w:rsidR="00682BDA" w:rsidRPr="00326D8B" w14:paraId="287BB927" w14:textId="77777777" w:rsidTr="00C533FD">
        <w:tc>
          <w:tcPr>
            <w:tcW w:w="5000" w:type="pct"/>
          </w:tcPr>
          <w:tbl>
            <w:tblPr>
              <w:tblW w:w="16556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78"/>
              <w:gridCol w:w="8278"/>
            </w:tblGrid>
            <w:tr w:rsidR="007B2FAF" w:rsidRPr="00326D8B" w14:paraId="753234B9" w14:textId="77777777" w:rsidTr="007B2FAF">
              <w:tc>
                <w:tcPr>
                  <w:tcW w:w="2500" w:type="pct"/>
                  <w:shd w:val="clear" w:color="auto" w:fill="C0C0C0"/>
                </w:tcPr>
                <w:p w14:paraId="6BDE688B" w14:textId="77777777" w:rsidR="007B2FAF" w:rsidRPr="00977416" w:rsidRDefault="007B2FAF" w:rsidP="00977416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977416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PROGRAMA PRESUPUESTAL</w:t>
                  </w:r>
                </w:p>
              </w:tc>
              <w:tc>
                <w:tcPr>
                  <w:tcW w:w="25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D87DE" w14:textId="77777777" w:rsidR="007B2FAF" w:rsidRPr="00326D8B" w:rsidRDefault="007B2FAF" w:rsidP="007F5A0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 w:cs="Arial"/>
                      <w:b/>
                      <w:sz w:val="20"/>
                      <w:szCs w:val="20"/>
                    </w:rPr>
                    <w:t>FUNCIÓN / TIPOLOGIA DE PROYECTO</w:t>
                  </w:r>
                </w:p>
              </w:tc>
            </w:tr>
          </w:tbl>
          <w:p w14:paraId="5F9159B3" w14:textId="77777777" w:rsidR="00A156B3" w:rsidRPr="00977416" w:rsidRDefault="00A156B3" w:rsidP="00A156B3">
            <w:pPr>
              <w:spacing w:after="0" w:line="240" w:lineRule="auto"/>
              <w:jc w:val="center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A156B3" w:rsidRPr="006B4FFF" w14:paraId="20151838" w14:textId="77777777" w:rsidTr="005E4E4D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B241B" w14:textId="08AEC803" w:rsidR="00A156B3" w:rsidRPr="00977416" w:rsidRDefault="00977416" w:rsidP="00977416">
                  <w:pPr>
                    <w:pStyle w:val="Prrafodelista1"/>
                    <w:spacing w:after="160" w:line="240" w:lineRule="auto"/>
                    <w:ind w:left="357" w:hanging="35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77416">
                    <w:rPr>
                      <w:rFonts w:ascii="Arial" w:hAnsi="Arial" w:cs="Arial"/>
                      <w:b/>
                      <w:sz w:val="20"/>
                      <w:szCs w:val="18"/>
                    </w:rPr>
                    <w:t>NOMBRE DEL INDICADOR</w:t>
                  </w:r>
                </w:p>
              </w:tc>
            </w:tr>
          </w:tbl>
          <w:p w14:paraId="18503C40" w14:textId="77777777" w:rsidR="00C533FD" w:rsidRDefault="00C533FD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0557AA1A" w14:textId="7B5B7C26" w:rsidR="00157F2E" w:rsidRDefault="00C26CEE" w:rsidP="00C533F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18"/>
                <w:lang w:val="es-MX"/>
              </w:rPr>
            </w:pPr>
            <w:r w:rsidRPr="00C26CEE">
              <w:rPr>
                <w:rFonts w:ascii="Arial" w:hAnsi="Arial" w:cs="Arial"/>
                <w:sz w:val="20"/>
                <w:szCs w:val="20"/>
              </w:rPr>
              <w:t xml:space="preserve">Porcentaje de personas no matriculadas en Educación Superior Pedagógica respecto a la demanda potencial </w:t>
            </w:r>
            <w:r w:rsidR="008C7064" w:rsidRPr="00C533FD">
              <w:rPr>
                <w:rFonts w:ascii="Arial" w:hAnsi="Arial" w:cs="Arial"/>
                <w:bCs/>
                <w:sz w:val="20"/>
                <w:szCs w:val="18"/>
                <w:lang w:val="es-MX"/>
              </w:rPr>
              <w:t>(</w:t>
            </w:r>
            <w:bookmarkStart w:id="0" w:name="_GoBack"/>
            <w:bookmarkEnd w:id="0"/>
            <w:r w:rsidR="0027537A">
              <w:rPr>
                <w:rFonts w:ascii="Arial" w:hAnsi="Arial" w:cs="Arial"/>
                <w:bCs/>
                <w:sz w:val="20"/>
                <w:szCs w:val="18"/>
                <w:lang w:val="es-MX"/>
              </w:rPr>
              <w:t>E</w:t>
            </w:r>
            <w:r w:rsidR="008C7064" w:rsidRPr="00C533FD">
              <w:rPr>
                <w:rFonts w:ascii="Arial" w:hAnsi="Arial" w:cs="Arial"/>
                <w:bCs/>
                <w:sz w:val="20"/>
                <w:szCs w:val="18"/>
                <w:lang w:val="es-MX"/>
              </w:rPr>
              <w:t>SP</w:t>
            </w:r>
            <w:r w:rsidR="00C533FD" w:rsidRPr="00C533FD">
              <w:rPr>
                <w:rFonts w:ascii="Arial" w:hAnsi="Arial" w:cs="Arial"/>
                <w:bCs/>
                <w:sz w:val="20"/>
                <w:szCs w:val="18"/>
                <w:lang w:val="es-MX"/>
              </w:rPr>
              <w:t>)</w:t>
            </w:r>
          </w:p>
          <w:p w14:paraId="2AB31007" w14:textId="77777777" w:rsidR="00C533FD" w:rsidRPr="00C533FD" w:rsidRDefault="00C533FD" w:rsidP="00C533FD">
            <w:pPr>
              <w:spacing w:after="0" w:line="240" w:lineRule="auto"/>
              <w:jc w:val="both"/>
              <w:rPr>
                <w:rFonts w:ascii="Arial" w:hAnsi="Arial"/>
                <w:bCs/>
                <w:color w:val="1F3864" w:themeColor="accent5" w:themeShade="80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8100CE" w:rsidRPr="00326D8B" w14:paraId="27883C9F" w14:textId="77777777" w:rsidTr="00C50CEC"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55DB2" w14:textId="7DE24F44" w:rsidR="00977416" w:rsidRPr="00977416" w:rsidRDefault="00977416" w:rsidP="00977416">
                  <w:pPr>
                    <w:spacing w:line="240" w:lineRule="auto"/>
                    <w:jc w:val="center"/>
                    <w:rPr>
                      <w:rFonts w:ascii="Arial" w:hAnsi="Arial"/>
                      <w:bCs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AMBITO DE CONTROL</w:t>
                  </w:r>
                </w:p>
              </w:tc>
            </w:tr>
          </w:tbl>
          <w:p w14:paraId="39073017" w14:textId="77777777" w:rsidR="00C533FD" w:rsidRPr="00977416" w:rsidRDefault="00C533FD" w:rsidP="00C533FD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41C9AB69" w14:textId="5E283C7A" w:rsidR="00C533FD" w:rsidRDefault="00B67BB2" w:rsidP="00C533FD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  <w:r>
              <w:rPr>
                <w:rFonts w:ascii="Arial" w:hAnsi="Arial"/>
                <w:bCs/>
                <w:sz w:val="20"/>
                <w:szCs w:val="18"/>
              </w:rPr>
              <w:t>Producto</w:t>
            </w:r>
            <w:r w:rsidR="008100CE" w:rsidRPr="00977416">
              <w:rPr>
                <w:rFonts w:ascii="Arial" w:hAnsi="Arial"/>
                <w:bCs/>
                <w:sz w:val="20"/>
                <w:szCs w:val="18"/>
              </w:rPr>
              <w:t xml:space="preserve">: </w:t>
            </w:r>
            <w:r w:rsidR="00977416">
              <w:rPr>
                <w:rFonts w:ascii="Arial" w:hAnsi="Arial"/>
                <w:bCs/>
                <w:sz w:val="20"/>
                <w:szCs w:val="18"/>
              </w:rPr>
              <w:t xml:space="preserve">Incremento de matriculados en </w:t>
            </w:r>
            <w:r w:rsidR="00CE5620" w:rsidRPr="00977416">
              <w:rPr>
                <w:rFonts w:ascii="Arial" w:hAnsi="Arial"/>
                <w:bCs/>
                <w:sz w:val="20"/>
                <w:szCs w:val="18"/>
              </w:rPr>
              <w:t>e</w:t>
            </w:r>
            <w:r w:rsidR="00C533FD" w:rsidRPr="00977416">
              <w:rPr>
                <w:rFonts w:ascii="Arial" w:hAnsi="Arial"/>
                <w:bCs/>
                <w:sz w:val="20"/>
                <w:szCs w:val="18"/>
              </w:rPr>
              <w:t>l</w:t>
            </w:r>
            <w:r w:rsidR="008100CE" w:rsidRPr="00977416">
              <w:rPr>
                <w:rFonts w:ascii="Arial" w:hAnsi="Arial"/>
                <w:bCs/>
                <w:sz w:val="20"/>
                <w:szCs w:val="18"/>
              </w:rPr>
              <w:t xml:space="preserve"> servicio educativo </w:t>
            </w:r>
            <w:r w:rsidR="00977416">
              <w:rPr>
                <w:rFonts w:ascii="Arial" w:hAnsi="Arial"/>
                <w:bCs/>
                <w:sz w:val="20"/>
                <w:szCs w:val="18"/>
              </w:rPr>
              <w:t>de Educación Superior Pedagógica</w:t>
            </w:r>
          </w:p>
          <w:p w14:paraId="3AD86C8C" w14:textId="77777777" w:rsidR="00977416" w:rsidRPr="00977416" w:rsidRDefault="00977416" w:rsidP="00C533FD">
            <w:pPr>
              <w:spacing w:after="0" w:line="240" w:lineRule="auto"/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8100CE" w:rsidRPr="00326D8B" w14:paraId="6E279E05" w14:textId="77777777" w:rsidTr="00DD2054">
              <w:trPr>
                <w:trHeight w:val="302"/>
              </w:trPr>
              <w:tc>
                <w:tcPr>
                  <w:tcW w:w="5000" w:type="pct"/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BF9B6" w14:textId="5593EB63" w:rsidR="008100CE" w:rsidRPr="00326D8B" w:rsidRDefault="008100CE" w:rsidP="00977416">
                  <w:pPr>
                    <w:spacing w:line="240" w:lineRule="auto"/>
                    <w:ind w:left="360"/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977416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PLIEGOS QUE EJECUTAN ACCIONES EN EL MARCO DEL PROGRAMA PRESUPUESTAL</w:t>
                  </w:r>
                </w:p>
              </w:tc>
            </w:tr>
          </w:tbl>
          <w:p w14:paraId="236E2643" w14:textId="77777777" w:rsidR="00C533FD" w:rsidRPr="00977416" w:rsidRDefault="00C533FD" w:rsidP="00C533FD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p w14:paraId="52202A6A" w14:textId="028B9321" w:rsidR="00C533FD" w:rsidRDefault="00DD2054" w:rsidP="00C533FD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  <w:r w:rsidRPr="00977416">
              <w:rPr>
                <w:rFonts w:ascii="Arial" w:hAnsi="Arial"/>
                <w:sz w:val="20"/>
                <w:szCs w:val="18"/>
              </w:rPr>
              <w:t xml:space="preserve">Gobierno </w:t>
            </w:r>
            <w:r w:rsidR="00977416" w:rsidRPr="00977416">
              <w:rPr>
                <w:rFonts w:ascii="Arial" w:hAnsi="Arial"/>
                <w:sz w:val="20"/>
                <w:szCs w:val="18"/>
              </w:rPr>
              <w:t>N</w:t>
            </w:r>
            <w:r w:rsidR="00C533FD" w:rsidRPr="00977416">
              <w:rPr>
                <w:rFonts w:ascii="Arial" w:hAnsi="Arial"/>
                <w:sz w:val="20"/>
                <w:szCs w:val="18"/>
              </w:rPr>
              <w:t>acional</w:t>
            </w:r>
            <w:r w:rsidR="00977416" w:rsidRPr="00977416">
              <w:rPr>
                <w:rFonts w:ascii="Arial" w:hAnsi="Arial"/>
                <w:sz w:val="20"/>
                <w:szCs w:val="18"/>
              </w:rPr>
              <w:t>, Gobiernos R</w:t>
            </w:r>
            <w:r w:rsidR="00C533FD" w:rsidRPr="00977416">
              <w:rPr>
                <w:rFonts w:ascii="Arial" w:hAnsi="Arial"/>
                <w:sz w:val="20"/>
                <w:szCs w:val="18"/>
              </w:rPr>
              <w:t>egionales</w:t>
            </w:r>
            <w:r w:rsidR="00977416">
              <w:rPr>
                <w:rFonts w:ascii="Arial" w:hAnsi="Arial"/>
                <w:sz w:val="20"/>
                <w:szCs w:val="18"/>
              </w:rPr>
              <w:t xml:space="preserve"> y </w:t>
            </w:r>
            <w:r w:rsidR="004563BD">
              <w:rPr>
                <w:rFonts w:ascii="Arial" w:hAnsi="Arial"/>
                <w:sz w:val="20"/>
                <w:szCs w:val="18"/>
              </w:rPr>
              <w:t xml:space="preserve">Gobiernos </w:t>
            </w:r>
            <w:r w:rsidR="00977416">
              <w:rPr>
                <w:rFonts w:ascii="Arial" w:hAnsi="Arial"/>
                <w:sz w:val="20"/>
                <w:szCs w:val="18"/>
              </w:rPr>
              <w:t>Locales</w:t>
            </w:r>
          </w:p>
          <w:p w14:paraId="189966DA" w14:textId="77777777" w:rsidR="00977416" w:rsidRPr="00977416" w:rsidRDefault="00977416" w:rsidP="00C533FD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82BDA" w:rsidRPr="00326D8B" w14:paraId="3A5654CB" w14:textId="77777777" w:rsidTr="00DD2054">
              <w:trPr>
                <w:trHeight w:val="246"/>
              </w:trPr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46F16" w14:textId="77777777" w:rsidR="00682BDA" w:rsidRPr="00326D8B" w:rsidRDefault="00157F2E" w:rsidP="00977416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DE</w:t>
                  </w:r>
                  <w:r w:rsidR="00DD2054" w:rsidRPr="00326D8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FINICIÓN </w:t>
                  </w:r>
                </w:p>
              </w:tc>
            </w:tr>
          </w:tbl>
          <w:p w14:paraId="266B5B08" w14:textId="77777777" w:rsidR="00C533FD" w:rsidRDefault="00C533FD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45F3E4" w14:textId="4827F20D" w:rsidR="00B3623F" w:rsidRDefault="004765C3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indicador r</w:t>
            </w:r>
            <w:r w:rsidR="00181F4D" w:rsidRPr="00326D8B">
              <w:rPr>
                <w:rFonts w:ascii="Arial" w:hAnsi="Arial" w:cs="Arial"/>
                <w:sz w:val="20"/>
                <w:szCs w:val="20"/>
              </w:rPr>
              <w:t>epresenta la demanda</w:t>
            </w:r>
            <w:r w:rsidR="00140FA3">
              <w:rPr>
                <w:rFonts w:ascii="Arial" w:hAnsi="Arial" w:cs="Arial"/>
                <w:sz w:val="20"/>
                <w:szCs w:val="20"/>
              </w:rPr>
              <w:t xml:space="preserve"> potencial no atendida con </w:t>
            </w:r>
            <w:r w:rsidR="00181F4D" w:rsidRPr="00326D8B">
              <w:rPr>
                <w:rFonts w:ascii="Arial" w:hAnsi="Arial" w:cs="Arial"/>
                <w:sz w:val="20"/>
                <w:szCs w:val="20"/>
              </w:rPr>
              <w:t>el servicio</w:t>
            </w:r>
            <w:r w:rsidR="00C533FD">
              <w:rPr>
                <w:rFonts w:ascii="Arial" w:hAnsi="Arial" w:cs="Arial"/>
                <w:sz w:val="20"/>
                <w:szCs w:val="20"/>
              </w:rPr>
              <w:t xml:space="preserve"> de Educación Superior P</w:t>
            </w:r>
            <w:r w:rsidR="00DA243A" w:rsidRPr="00326D8B">
              <w:rPr>
                <w:rFonts w:ascii="Arial" w:hAnsi="Arial" w:cs="Arial"/>
                <w:sz w:val="20"/>
                <w:szCs w:val="20"/>
              </w:rPr>
              <w:t>edagógica</w:t>
            </w:r>
            <w:r w:rsidR="00181F4D" w:rsidRPr="00326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3AA7C3" w14:textId="77777777" w:rsidR="00140FA3" w:rsidRDefault="00140FA3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2B224" w14:textId="40E97A0F" w:rsidR="00140FA3" w:rsidRDefault="00BD6520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demanda potencial no atendida </w:t>
            </w:r>
            <w:r w:rsidR="00977416">
              <w:rPr>
                <w:rFonts w:ascii="Arial" w:hAnsi="Arial" w:cs="Arial"/>
                <w:sz w:val="20"/>
                <w:szCs w:val="20"/>
              </w:rPr>
              <w:t>hace mención</w:t>
            </w:r>
            <w:r w:rsidR="00140FA3" w:rsidRPr="00140FA3">
              <w:rPr>
                <w:rFonts w:ascii="Arial" w:hAnsi="Arial" w:cs="Arial"/>
                <w:sz w:val="20"/>
                <w:szCs w:val="20"/>
              </w:rPr>
              <w:t xml:space="preserve"> al grupo de la población de referencia con necesidades del servicio de Educación</w:t>
            </w:r>
            <w:r w:rsidR="00B6236D">
              <w:rPr>
                <w:rFonts w:ascii="Arial" w:hAnsi="Arial" w:cs="Arial"/>
                <w:sz w:val="20"/>
                <w:szCs w:val="20"/>
              </w:rPr>
              <w:t xml:space="preserve"> Superior Pedagógica</w:t>
            </w:r>
            <w:r w:rsidR="00140FA3" w:rsidRPr="00140FA3">
              <w:rPr>
                <w:rFonts w:ascii="Arial" w:hAnsi="Arial" w:cs="Arial"/>
                <w:sz w:val="20"/>
                <w:szCs w:val="20"/>
              </w:rPr>
              <w:t xml:space="preserve">, que en </w:t>
            </w:r>
            <w:r w:rsidR="00977416">
              <w:rPr>
                <w:rFonts w:ascii="Arial" w:hAnsi="Arial" w:cs="Arial"/>
                <w:sz w:val="20"/>
                <w:szCs w:val="20"/>
              </w:rPr>
              <w:t>la actualidad no fueron provistas por el estado</w:t>
            </w:r>
            <w:r w:rsidR="00140FA3" w:rsidRPr="00140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0C184" w14:textId="77777777" w:rsidR="00BD681B" w:rsidRDefault="00BD681B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7A2F34" w14:textId="44727B94" w:rsidR="003D68D0" w:rsidRPr="00BA7C63" w:rsidRDefault="00B6236D" w:rsidP="003D68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D68D0">
              <w:rPr>
                <w:rFonts w:ascii="Arial" w:hAnsi="Arial" w:cs="Arial"/>
                <w:sz w:val="20"/>
                <w:szCs w:val="20"/>
              </w:rPr>
              <w:t xml:space="preserve">a Educación Superior Pedagógica tiene como objetivo la formación </w:t>
            </w:r>
            <w:r w:rsidR="003D68D0" w:rsidRPr="003D68D0">
              <w:rPr>
                <w:rFonts w:ascii="Arial" w:hAnsi="Arial" w:cs="Arial"/>
                <w:sz w:val="20"/>
                <w:szCs w:val="20"/>
              </w:rPr>
              <w:t xml:space="preserve">inicial  de docentes  en  </w:t>
            </w:r>
            <w:r w:rsidR="00B5235E">
              <w:rPr>
                <w:rFonts w:ascii="Arial" w:hAnsi="Arial" w:cs="Arial"/>
                <w:sz w:val="20"/>
                <w:szCs w:val="20"/>
              </w:rPr>
              <w:t>I</w:t>
            </w:r>
            <w:r w:rsidR="003D68D0" w:rsidRPr="003D68D0">
              <w:rPr>
                <w:rFonts w:ascii="Arial" w:hAnsi="Arial" w:cs="Arial"/>
                <w:sz w:val="20"/>
                <w:szCs w:val="20"/>
              </w:rPr>
              <w:t xml:space="preserve">nstitutos  y  </w:t>
            </w:r>
            <w:r w:rsidR="00B5235E">
              <w:rPr>
                <w:rFonts w:ascii="Arial" w:hAnsi="Arial" w:cs="Arial"/>
                <w:sz w:val="20"/>
                <w:szCs w:val="20"/>
              </w:rPr>
              <w:t>E</w:t>
            </w:r>
            <w:r w:rsidR="003D68D0" w:rsidRPr="003D68D0">
              <w:rPr>
                <w:rFonts w:ascii="Arial" w:hAnsi="Arial" w:cs="Arial"/>
                <w:sz w:val="20"/>
                <w:szCs w:val="20"/>
              </w:rPr>
              <w:t xml:space="preserve">scuelas  de  </w:t>
            </w:r>
            <w:r w:rsidR="003D68D0">
              <w:rPr>
                <w:rFonts w:ascii="Arial" w:hAnsi="Arial" w:cs="Arial"/>
                <w:sz w:val="20"/>
                <w:szCs w:val="20"/>
              </w:rPr>
              <w:t>educación  superior  pedagógica,</w:t>
            </w:r>
            <w:r w:rsidR="003D68D0" w:rsidRPr="003D68D0">
              <w:rPr>
                <w:rFonts w:ascii="Arial" w:hAnsi="Arial" w:cs="Arial"/>
                <w:sz w:val="20"/>
                <w:szCs w:val="20"/>
              </w:rPr>
              <w:t xml:space="preserve">  así</w:t>
            </w:r>
            <w:r w:rsidR="003D68D0">
              <w:rPr>
                <w:rFonts w:ascii="Arial" w:hAnsi="Arial" w:cs="Arial"/>
                <w:sz w:val="20"/>
                <w:szCs w:val="20"/>
              </w:rPr>
              <w:t>.</w:t>
            </w:r>
            <w:r w:rsidR="00A50438">
              <w:rPr>
                <w:rFonts w:ascii="Arial" w:hAnsi="Arial" w:cs="Arial"/>
                <w:sz w:val="20"/>
                <w:szCs w:val="20"/>
              </w:rPr>
              <w:t xml:space="preserve"> Forma en base a la investigación y practica pedagógica a los futuros profesores para la educación básica y coadyuvan a su desarrollo profesional en la formación continua</w:t>
            </w:r>
          </w:p>
          <w:p w14:paraId="7F901C44" w14:textId="77777777" w:rsidR="00C533FD" w:rsidRPr="00326D8B" w:rsidRDefault="00C533FD" w:rsidP="00C5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8A04DA" w:rsidRPr="00326D8B" w14:paraId="05DB4B2E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A3C63" w14:textId="77777777" w:rsidR="008A04DA" w:rsidRPr="00326D8B" w:rsidRDefault="008A04DA" w:rsidP="00977416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DIMENSIÓN DE DESEMPEÑO</w:t>
                  </w:r>
                </w:p>
              </w:tc>
            </w:tr>
          </w:tbl>
          <w:p w14:paraId="19CAD8F9" w14:textId="77777777" w:rsidR="00C533FD" w:rsidRPr="00977416" w:rsidRDefault="00C533FD" w:rsidP="00C533F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2B433FD3" w14:textId="774827DD" w:rsidR="00B6236D" w:rsidRDefault="00B6236D" w:rsidP="00C533F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977416">
              <w:rPr>
                <w:rFonts w:ascii="Arial" w:hAnsi="Arial"/>
                <w:sz w:val="20"/>
                <w:szCs w:val="20"/>
                <w:lang w:val="es-MX"/>
              </w:rPr>
              <w:t>El indicador es de brecha de cobertura y, puesto que mide la cobertura del servicio de Educación Superior Pedagógica</w:t>
            </w:r>
            <w:r w:rsidR="00977416">
              <w:rPr>
                <w:rFonts w:ascii="Arial" w:hAnsi="Arial"/>
                <w:sz w:val="20"/>
                <w:szCs w:val="20"/>
                <w:lang w:val="es-MX"/>
              </w:rPr>
              <w:t>, es un indicador de eficacia.</w:t>
            </w:r>
          </w:p>
          <w:p w14:paraId="262E4C1D" w14:textId="77777777" w:rsidR="00977416" w:rsidRPr="00977416" w:rsidRDefault="00977416" w:rsidP="00C533FD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82BDA" w:rsidRPr="00326D8B" w14:paraId="1A524567" w14:textId="77777777" w:rsidTr="008611F2">
              <w:trPr>
                <w:trHeight w:val="176"/>
              </w:trPr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24307" w14:textId="26505908" w:rsidR="00682BDA" w:rsidRPr="00326D8B" w:rsidRDefault="008611F2" w:rsidP="00977416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VALOR DEL INDICADOR</w:t>
                  </w:r>
                </w:p>
              </w:tc>
            </w:tr>
          </w:tbl>
          <w:p w14:paraId="4C65948E" w14:textId="77777777" w:rsidR="00181F4D" w:rsidRPr="00977416" w:rsidRDefault="00181F4D" w:rsidP="00977416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00E87BDE" w14:textId="441EBED3" w:rsidR="00392D7A" w:rsidRPr="00C26CEE" w:rsidRDefault="00C26CEE" w:rsidP="00C26CEE">
            <w:r>
              <w:rPr>
                <w:rFonts w:ascii="Arial" w:hAnsi="Arial"/>
                <w:sz w:val="20"/>
                <w:szCs w:val="20"/>
                <w:lang w:val="es-MX"/>
              </w:rPr>
              <w:t>De acuerdo al método del cálculo y las bases de datos actualizadas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92D7A" w:rsidRPr="00326D8B" w14:paraId="532915D0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61CBB" w14:textId="77777777" w:rsidR="00392D7A" w:rsidRPr="00326D8B" w:rsidRDefault="00392D7A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JUSTIFICACIÓN</w:t>
                  </w:r>
                </w:p>
              </w:tc>
            </w:tr>
          </w:tbl>
          <w:p w14:paraId="6A36AB45" w14:textId="77777777" w:rsidR="00392D7A" w:rsidRPr="00326D8B" w:rsidRDefault="00392D7A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D5121A3" w14:textId="528CF646" w:rsidR="00392D7A" w:rsidRDefault="00392D7A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326D8B">
              <w:rPr>
                <w:rFonts w:ascii="Arial" w:hAnsi="Arial"/>
                <w:sz w:val="20"/>
                <w:szCs w:val="20"/>
              </w:rPr>
              <w:lastRenderedPageBreak/>
              <w:t xml:space="preserve">Este indicador permite medir directamente la brecha </w:t>
            </w:r>
            <w:r w:rsidR="001F57C6" w:rsidRPr="00326D8B">
              <w:rPr>
                <w:rFonts w:ascii="Arial" w:hAnsi="Arial"/>
                <w:sz w:val="20"/>
                <w:szCs w:val="20"/>
              </w:rPr>
              <w:t>de acceso a</w:t>
            </w:r>
            <w:r w:rsidR="00F65AEC">
              <w:rPr>
                <w:rFonts w:ascii="Arial" w:hAnsi="Arial"/>
                <w:sz w:val="20"/>
                <w:szCs w:val="20"/>
              </w:rPr>
              <w:t xml:space="preserve"> la educación s</w:t>
            </w:r>
            <w:r w:rsidR="00DA243A" w:rsidRPr="00326D8B">
              <w:rPr>
                <w:rFonts w:ascii="Arial" w:hAnsi="Arial"/>
                <w:sz w:val="20"/>
                <w:szCs w:val="20"/>
              </w:rPr>
              <w:t>uperior</w:t>
            </w:r>
            <w:r w:rsidR="00F65AEC">
              <w:rPr>
                <w:rFonts w:ascii="Arial" w:hAnsi="Arial"/>
                <w:sz w:val="20"/>
                <w:szCs w:val="20"/>
              </w:rPr>
              <w:t xml:space="preserve"> p</w:t>
            </w:r>
            <w:r w:rsidR="00DA243A" w:rsidRPr="00326D8B">
              <w:rPr>
                <w:rFonts w:ascii="Arial" w:hAnsi="Arial"/>
                <w:sz w:val="20"/>
                <w:szCs w:val="20"/>
              </w:rPr>
              <w:t>edagógica</w:t>
            </w:r>
            <w:r w:rsidRPr="00326D8B">
              <w:rPr>
                <w:rFonts w:ascii="Arial" w:hAnsi="Arial"/>
                <w:sz w:val="20"/>
                <w:szCs w:val="20"/>
              </w:rPr>
              <w:t>, y consiguientemente el cierre de esta brecha está vinculado directamente con la ejecución de proyectos de inversión.</w:t>
            </w:r>
          </w:p>
          <w:p w14:paraId="4ED3C14E" w14:textId="77777777" w:rsidR="0081564F" w:rsidRPr="00326D8B" w:rsidRDefault="0081564F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92D7A" w:rsidRPr="00326D8B" w14:paraId="2B1C48C6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450CA" w14:textId="77777777" w:rsidR="00392D7A" w:rsidRPr="00326D8B" w:rsidRDefault="00392D7A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LIMITACIONES Y SUPUESTOS EMPLEADOS</w:t>
                  </w:r>
                </w:p>
              </w:tc>
            </w:tr>
          </w:tbl>
          <w:p w14:paraId="57A37BA7" w14:textId="17C3ABF2" w:rsidR="00392D7A" w:rsidRDefault="00392D7A" w:rsidP="0081564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7426312" w14:textId="58144ECD" w:rsidR="004D505E" w:rsidRDefault="004D505E" w:rsidP="0081564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Supuestos</w:t>
            </w:r>
            <w:r w:rsidR="00F65AEC">
              <w:rPr>
                <w:rFonts w:ascii="Arial" w:hAnsi="Arial"/>
                <w:sz w:val="20"/>
                <w:szCs w:val="20"/>
              </w:rPr>
              <w:t>:</w:t>
            </w:r>
          </w:p>
          <w:p w14:paraId="0F39BE89" w14:textId="77777777" w:rsidR="009F60DA" w:rsidRPr="0081564F" w:rsidRDefault="009F60DA" w:rsidP="0081564F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BF4A619" w14:textId="087A1920" w:rsidR="0080721C" w:rsidRDefault="0080721C" w:rsidP="007108FD">
            <w:pPr>
              <w:pStyle w:val="Prrafodelista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 número de matriculados del primer ciclo en los Instituto o Escuela de Educación Superior Pedagógico solo se encuentra conformado por una parte de los postulantes </w:t>
            </w:r>
            <w:r w:rsidR="0011743C">
              <w:rPr>
                <w:rFonts w:ascii="Arial" w:hAnsi="Arial"/>
                <w:sz w:val="20"/>
                <w:szCs w:val="20"/>
              </w:rPr>
              <w:t>para el</w:t>
            </w:r>
            <w:r>
              <w:rPr>
                <w:rFonts w:ascii="Arial" w:hAnsi="Arial"/>
                <w:sz w:val="20"/>
                <w:szCs w:val="20"/>
              </w:rPr>
              <w:t xml:space="preserve"> mismo semestre académico, esto garantiza que los matriculados</w:t>
            </w:r>
            <w:r w:rsidR="0011743C">
              <w:rPr>
                <w:rFonts w:ascii="Arial" w:hAnsi="Arial"/>
                <w:sz w:val="20"/>
                <w:szCs w:val="20"/>
              </w:rPr>
              <w:t xml:space="preserve"> del primer ciclo</w:t>
            </w:r>
            <w:r>
              <w:rPr>
                <w:rFonts w:ascii="Arial" w:hAnsi="Arial"/>
                <w:sz w:val="20"/>
                <w:szCs w:val="20"/>
              </w:rPr>
              <w:t xml:space="preserve"> no sea</w:t>
            </w:r>
            <w:r w:rsidR="0011743C"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 repitentes</w:t>
            </w:r>
            <w:r w:rsidR="0011743C">
              <w:rPr>
                <w:rFonts w:ascii="Arial" w:hAnsi="Arial"/>
                <w:sz w:val="20"/>
                <w:szCs w:val="20"/>
              </w:rPr>
              <w:t>.</w:t>
            </w:r>
          </w:p>
          <w:p w14:paraId="7F0365D7" w14:textId="77777777" w:rsidR="004D505E" w:rsidRDefault="004D505E" w:rsidP="004D505E">
            <w:pPr>
              <w:pStyle w:val="Prrafodelista"/>
              <w:rPr>
                <w:rFonts w:ascii="Arial" w:hAnsi="Arial"/>
                <w:sz w:val="20"/>
                <w:szCs w:val="20"/>
              </w:rPr>
            </w:pPr>
          </w:p>
          <w:p w14:paraId="4066E5A3" w14:textId="1E1FFE0B" w:rsidR="004D505E" w:rsidRDefault="004D505E" w:rsidP="004D505E">
            <w:pPr>
              <w:pStyle w:val="Prrafodelista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Limitación</w:t>
            </w:r>
            <w:r w:rsidR="00F65AEC">
              <w:rPr>
                <w:rFonts w:ascii="Arial" w:hAnsi="Arial"/>
                <w:sz w:val="20"/>
                <w:szCs w:val="20"/>
              </w:rPr>
              <w:t>:</w:t>
            </w:r>
          </w:p>
          <w:p w14:paraId="68EA009C" w14:textId="77777777" w:rsidR="0010480A" w:rsidRDefault="0010480A" w:rsidP="004D505E">
            <w:pPr>
              <w:pStyle w:val="Prrafodelista"/>
              <w:ind w:left="0"/>
              <w:rPr>
                <w:rFonts w:ascii="Arial" w:hAnsi="Arial"/>
                <w:sz w:val="20"/>
                <w:szCs w:val="20"/>
              </w:rPr>
            </w:pPr>
          </w:p>
          <w:p w14:paraId="5E7967FC" w14:textId="32116E92" w:rsidR="004D505E" w:rsidRDefault="004D505E" w:rsidP="007108FD">
            <w:pPr>
              <w:pStyle w:val="Prrafodelista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se consideran</w:t>
            </w:r>
            <w:r w:rsidR="009F60DA">
              <w:rPr>
                <w:rFonts w:ascii="Arial" w:hAnsi="Arial"/>
                <w:sz w:val="20"/>
                <w:szCs w:val="20"/>
              </w:rPr>
              <w:t xml:space="preserve"> para el cálculo del indicador </w:t>
            </w:r>
            <w:r>
              <w:rPr>
                <w:rFonts w:ascii="Arial" w:hAnsi="Arial"/>
                <w:sz w:val="20"/>
                <w:szCs w:val="20"/>
              </w:rPr>
              <w:t>los Institutos</w:t>
            </w:r>
            <w:r w:rsidR="009F60D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Superior</w:t>
            </w:r>
            <w:r w:rsidR="009F60DA">
              <w:rPr>
                <w:rFonts w:ascii="Arial" w:hAnsi="Arial"/>
                <w:sz w:val="20"/>
                <w:szCs w:val="20"/>
              </w:rPr>
              <w:t>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7674F4">
              <w:rPr>
                <w:rFonts w:ascii="Arial" w:hAnsi="Arial"/>
                <w:sz w:val="20"/>
                <w:szCs w:val="20"/>
              </w:rPr>
              <w:t>P</w:t>
            </w:r>
            <w:r w:rsidR="009F60DA">
              <w:rPr>
                <w:rFonts w:ascii="Arial" w:hAnsi="Arial"/>
                <w:sz w:val="20"/>
                <w:szCs w:val="20"/>
              </w:rPr>
              <w:t xml:space="preserve">edagógicos que se encuentran con datos </w:t>
            </w:r>
            <w:r>
              <w:rPr>
                <w:rFonts w:ascii="Arial" w:hAnsi="Arial"/>
                <w:sz w:val="20"/>
                <w:szCs w:val="20"/>
              </w:rPr>
              <w:t>incompletos (ej. que tienen datos de matriculados pero no de postulantes)</w:t>
            </w:r>
            <w:r w:rsidR="00F65AEC">
              <w:rPr>
                <w:rFonts w:ascii="Arial" w:hAnsi="Arial"/>
                <w:sz w:val="20"/>
                <w:szCs w:val="20"/>
              </w:rPr>
              <w:t>.</w:t>
            </w:r>
          </w:p>
          <w:p w14:paraId="4D2CE60D" w14:textId="77777777" w:rsidR="00F54557" w:rsidRPr="0081564F" w:rsidRDefault="00F54557" w:rsidP="0081564F">
            <w:pPr>
              <w:pStyle w:val="Prrafodelista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92D7A" w:rsidRPr="00326D8B" w14:paraId="5C75A999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B89E3" w14:textId="77777777" w:rsidR="00392D7A" w:rsidRPr="00326D8B" w:rsidRDefault="00392D7A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PRECISIONES TÉCNICAS</w:t>
                  </w:r>
                </w:p>
              </w:tc>
            </w:tr>
          </w:tbl>
          <w:p w14:paraId="2304C58C" w14:textId="77777777" w:rsidR="0081564F" w:rsidRDefault="0081564F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PE"/>
              </w:rPr>
            </w:pPr>
          </w:p>
          <w:p w14:paraId="14373E4E" w14:textId="44FB9767" w:rsidR="000271CD" w:rsidRPr="00537A79" w:rsidRDefault="000271CD" w:rsidP="00537A7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E7C4F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olo se consideran </w:t>
            </w:r>
            <w:r w:rsidRPr="00EE7C4F">
              <w:rPr>
                <w:rFonts w:ascii="Arial" w:hAnsi="Arial"/>
                <w:sz w:val="20"/>
                <w:szCs w:val="20"/>
              </w:rPr>
              <w:t>a los Institutos de Educación Superior</w:t>
            </w:r>
            <w:r w:rsidR="00537A79">
              <w:rPr>
                <w:rFonts w:ascii="Arial" w:hAnsi="Arial"/>
                <w:sz w:val="20"/>
                <w:szCs w:val="20"/>
              </w:rPr>
              <w:t xml:space="preserve"> Pedagógica</w:t>
            </w:r>
            <w:r w:rsidRPr="00537A79">
              <w:rPr>
                <w:rFonts w:ascii="Arial" w:hAnsi="Arial"/>
                <w:sz w:val="20"/>
                <w:szCs w:val="20"/>
              </w:rPr>
              <w:t xml:space="preserve"> de gestión pública.</w:t>
            </w:r>
          </w:p>
          <w:p w14:paraId="74524BEA" w14:textId="77777777" w:rsidR="000271CD" w:rsidRDefault="000271CD" w:rsidP="000271CD">
            <w:pPr>
              <w:pStyle w:val="Prrafodelista"/>
            </w:pPr>
          </w:p>
          <w:p w14:paraId="2C2110C6" w14:textId="6D2716CA" w:rsidR="00C41719" w:rsidRDefault="00C41719" w:rsidP="007108FD">
            <w:pPr>
              <w:pStyle w:val="Prrafodelista"/>
              <w:numPr>
                <w:ilvl w:val="0"/>
                <w:numId w:val="13"/>
              </w:numPr>
            </w:pPr>
            <w:r>
              <w:t>Se considera como año de línea base el año 2016, debido a que es el año con las fuentes de información más actualizadas.</w:t>
            </w:r>
          </w:p>
          <w:p w14:paraId="5ED31E0F" w14:textId="77777777" w:rsidR="0011743C" w:rsidRPr="00C41719" w:rsidRDefault="0011743C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E8262E1" w14:textId="77777777" w:rsidR="00F54557" w:rsidRPr="0081564F" w:rsidRDefault="00F54557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s-P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392D7A" w:rsidRPr="00326D8B" w14:paraId="7E99AE5F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2AD27" w14:textId="77777777" w:rsidR="00392D7A" w:rsidRPr="00326D8B" w:rsidRDefault="00392D7A" w:rsidP="00F65AEC">
                  <w:pPr>
                    <w:keepNext/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MÉTODO DE CÁLCULO</w:t>
                  </w:r>
                </w:p>
              </w:tc>
            </w:tr>
          </w:tbl>
          <w:p w14:paraId="770B423C" w14:textId="77777777" w:rsidR="0081564F" w:rsidRDefault="0081564F" w:rsidP="008156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3D3C6F" w14:textId="77777777" w:rsidR="006012C9" w:rsidRDefault="006012C9" w:rsidP="008156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D8B">
              <w:rPr>
                <w:rFonts w:ascii="Arial" w:hAnsi="Arial" w:cs="Arial"/>
                <w:sz w:val="20"/>
                <w:szCs w:val="20"/>
              </w:rPr>
              <w:t>Para efectos de cálculo el indicador, esta será medida de la siguiente forma:</w:t>
            </w:r>
          </w:p>
          <w:p w14:paraId="05F8F89A" w14:textId="77777777" w:rsidR="0081564F" w:rsidRPr="00326D8B" w:rsidRDefault="0081564F" w:rsidP="008156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445B20" w14:textId="05F553C6" w:rsidR="00EF4BED" w:rsidRPr="0081564F" w:rsidRDefault="008602B3" w:rsidP="008156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0"/>
                      </w:rPr>
                      <m:t>ESP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0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24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MNP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DNP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4"/>
                    <w:szCs w:val="20"/>
                  </w:rPr>
                  <m:t>100%</m:t>
                </m:r>
              </m:oMath>
            </m:oMathPara>
          </w:p>
          <w:p w14:paraId="3B65E8B6" w14:textId="77777777" w:rsidR="0081564F" w:rsidRPr="0081564F" w:rsidRDefault="0081564F" w:rsidP="0081564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688436" w14:textId="323F1676" w:rsidR="00EF4BED" w:rsidRDefault="008602B3" w:rsidP="008156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Arial" w:cs="Arial"/>
                      <w:sz w:val="20"/>
                      <w:szCs w:val="20"/>
                    </w:rPr>
                    <m:t>ESP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EF4BED" w:rsidRPr="0032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AEC" w:rsidRPr="00977416">
              <w:rPr>
                <w:rFonts w:ascii="Arial" w:hAnsi="Arial" w:cs="Arial"/>
                <w:sz w:val="20"/>
                <w:szCs w:val="20"/>
              </w:rPr>
              <w:t>Porcentaje de personas no matriculadas</w:t>
            </w:r>
            <w:r w:rsidR="00F65AEC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F65AEC" w:rsidRPr="00977416">
              <w:rPr>
                <w:rFonts w:ascii="Arial" w:hAnsi="Arial" w:cs="Arial"/>
                <w:sz w:val="20"/>
                <w:szCs w:val="20"/>
              </w:rPr>
              <w:t xml:space="preserve">Educación Superior Pedagógica </w:t>
            </w:r>
            <w:r w:rsidR="00F65AEC">
              <w:rPr>
                <w:rFonts w:ascii="Arial" w:hAnsi="Arial" w:cs="Arial"/>
                <w:sz w:val="20"/>
                <w:szCs w:val="20"/>
              </w:rPr>
              <w:t>respecto a la demanda potencial</w:t>
            </w:r>
            <w:r w:rsidR="00F65AEC" w:rsidRPr="0032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B3" w:rsidRPr="00326D8B">
              <w:rPr>
                <w:rFonts w:ascii="Arial" w:hAnsi="Arial" w:cs="Arial"/>
                <w:sz w:val="20"/>
                <w:szCs w:val="20"/>
              </w:rPr>
              <w:t>en el tiempo t</w:t>
            </w:r>
            <w:r w:rsidR="00EF4BED" w:rsidRPr="00326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AF8464" w14:textId="77777777" w:rsidR="0081564F" w:rsidRPr="00326D8B" w:rsidRDefault="0081564F" w:rsidP="008156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4DE31" w14:textId="394D7313" w:rsidR="00EF4BED" w:rsidRDefault="008602B3" w:rsidP="0081564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Arial" w:cs="Arial"/>
                      <w:sz w:val="20"/>
                      <w:szCs w:val="20"/>
                    </w:rPr>
                    <m:t>MNP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EF4BED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 Número de personas matriculadas</w:t>
            </w:r>
            <w:r w:rsidR="009C3EB3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 en el servicio de Educación </w:t>
            </w:r>
            <w:r w:rsidR="0081564F">
              <w:rPr>
                <w:rFonts w:ascii="Arial" w:eastAsiaTheme="minorEastAsia" w:hAnsi="Arial" w:cs="Arial"/>
                <w:sz w:val="20"/>
                <w:szCs w:val="20"/>
              </w:rPr>
              <w:t>Superior P</w:t>
            </w:r>
            <w:r w:rsidR="006211B1" w:rsidRPr="00326D8B">
              <w:rPr>
                <w:rFonts w:ascii="Arial" w:eastAsiaTheme="minorEastAsia" w:hAnsi="Arial" w:cs="Arial"/>
                <w:sz w:val="20"/>
                <w:szCs w:val="20"/>
              </w:rPr>
              <w:t>edagógica</w:t>
            </w:r>
            <w:r w:rsidR="00F65AEC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00EF4BED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 en el tiempo t.</w:t>
            </w:r>
          </w:p>
          <w:p w14:paraId="457E8EE5" w14:textId="77777777" w:rsidR="0081564F" w:rsidRPr="00326D8B" w:rsidRDefault="0081564F" w:rsidP="0081564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DECB7B8" w14:textId="29033016" w:rsidR="00157F2E" w:rsidRDefault="008602B3" w:rsidP="0081564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Arial" w:cs="Arial"/>
                      <w:sz w:val="20"/>
                      <w:szCs w:val="20"/>
                    </w:rPr>
                    <m:t>DNP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EF4BED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561F69" w:rsidRPr="00326D8B">
              <w:rPr>
                <w:rFonts w:ascii="Arial" w:eastAsiaTheme="minorEastAsia" w:hAnsi="Arial" w:cs="Arial"/>
                <w:sz w:val="20"/>
                <w:szCs w:val="20"/>
              </w:rPr>
              <w:t>Demanda potencial (expresado en número de p</w:t>
            </w:r>
            <w:r w:rsidR="00F65AEC">
              <w:rPr>
                <w:rFonts w:ascii="Arial" w:eastAsiaTheme="minorEastAsia" w:hAnsi="Arial" w:cs="Arial"/>
                <w:sz w:val="20"/>
                <w:szCs w:val="20"/>
              </w:rPr>
              <w:t>ostulantes</w:t>
            </w:r>
            <w:r w:rsidR="00561F69" w:rsidRPr="00326D8B">
              <w:rPr>
                <w:rFonts w:ascii="Arial" w:eastAsiaTheme="minorEastAsia" w:hAnsi="Arial" w:cs="Arial"/>
                <w:sz w:val="20"/>
                <w:szCs w:val="20"/>
              </w:rPr>
              <w:t>) d</w:t>
            </w:r>
            <w:r w:rsidR="00EF4BED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el servicio </w:t>
            </w:r>
            <w:r w:rsidR="009C3EB3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de Educación </w:t>
            </w:r>
            <w:r w:rsidR="0081564F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="006211B1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uperior </w:t>
            </w:r>
            <w:r w:rsidR="0081564F">
              <w:rPr>
                <w:rFonts w:ascii="Arial" w:eastAsiaTheme="minorEastAsia" w:hAnsi="Arial" w:cs="Arial"/>
                <w:sz w:val="20"/>
                <w:szCs w:val="20"/>
              </w:rPr>
              <w:t>P</w:t>
            </w:r>
            <w:r w:rsidR="006211B1" w:rsidRPr="00326D8B">
              <w:rPr>
                <w:rFonts w:ascii="Arial" w:eastAsiaTheme="minorEastAsia" w:hAnsi="Arial" w:cs="Arial"/>
                <w:sz w:val="20"/>
                <w:szCs w:val="20"/>
              </w:rPr>
              <w:t>edagógica</w:t>
            </w:r>
            <w:r w:rsidR="00F65AEC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009C3EB3" w:rsidRPr="00326D8B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EF4BED" w:rsidRPr="00326D8B">
              <w:rPr>
                <w:rFonts w:ascii="Arial" w:eastAsiaTheme="minorEastAsia" w:hAnsi="Arial" w:cs="Arial"/>
                <w:sz w:val="20"/>
                <w:szCs w:val="20"/>
              </w:rPr>
              <w:t>en el tiempo t.</w:t>
            </w:r>
          </w:p>
          <w:p w14:paraId="233CC54E" w14:textId="77777777" w:rsidR="0081564F" w:rsidRPr="00326D8B" w:rsidRDefault="0081564F" w:rsidP="0081564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D27A9F" w:rsidRPr="00326D8B" w14:paraId="51BD4EE1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D387F" w14:textId="77777777" w:rsidR="00D27A9F" w:rsidRPr="00326D8B" w:rsidRDefault="00D27A9F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PERIODICIDAD DE LAS MEDICIONES</w:t>
                  </w:r>
                </w:p>
              </w:tc>
            </w:tr>
          </w:tbl>
          <w:p w14:paraId="4883A725" w14:textId="77777777" w:rsidR="0081564F" w:rsidRDefault="0081564F" w:rsidP="0081564F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86B849A" w14:textId="097DCB67" w:rsidR="00D27A9F" w:rsidRDefault="00D27A9F" w:rsidP="0081564F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20"/>
              </w:rPr>
            </w:pPr>
            <w:r w:rsidRPr="00326D8B">
              <w:rPr>
                <w:rFonts w:ascii="Arial" w:hAnsi="Arial"/>
                <w:sz w:val="20"/>
                <w:szCs w:val="20"/>
              </w:rPr>
              <w:t>La periodicidad de medición del indicador será anual.</w:t>
            </w:r>
          </w:p>
          <w:p w14:paraId="7DB000FE" w14:textId="77777777" w:rsidR="0081564F" w:rsidRPr="00326D8B" w:rsidRDefault="0081564F" w:rsidP="0081564F">
            <w:pPr>
              <w:spacing w:after="0" w:line="240" w:lineRule="auto"/>
              <w:ind w:left="360" w:hanging="360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682BDA" w:rsidRPr="00326D8B" w14:paraId="43741B80" w14:textId="77777777" w:rsidTr="00EF4BED">
              <w:trPr>
                <w:trHeight w:val="230"/>
              </w:trPr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DBB38" w14:textId="2B27C1EB" w:rsidR="00682BDA" w:rsidRPr="00326D8B" w:rsidRDefault="00F65AEC" w:rsidP="0081564F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FUENTE DE DATOS</w:t>
                  </w:r>
                </w:p>
              </w:tc>
            </w:tr>
          </w:tbl>
          <w:p w14:paraId="7A90476E" w14:textId="77777777" w:rsidR="0081564F" w:rsidRDefault="0081564F" w:rsidP="00567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2BB0269" w14:textId="14C94A3B" w:rsidR="0081564F" w:rsidRDefault="00544E50" w:rsidP="007108F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4E50">
              <w:rPr>
                <w:rFonts w:ascii="Arial" w:hAnsi="Arial" w:cs="Arial"/>
                <w:sz w:val="20"/>
                <w:szCs w:val="20"/>
                <w:lang w:val="es-MX"/>
              </w:rPr>
              <w:t>Unidad de Estadística Educativa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(ESCALE), a través del Censo Escolar</w:t>
            </w:r>
          </w:p>
          <w:p w14:paraId="23C52FED" w14:textId="77777777" w:rsidR="00544E50" w:rsidRPr="00544E50" w:rsidRDefault="00544E50" w:rsidP="00544E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81564F" w:rsidRPr="00333FEC" w14:paraId="3A85BBBC" w14:textId="77777777" w:rsidTr="0067712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1E1F1" w14:textId="77777777" w:rsidR="0081564F" w:rsidRPr="00333FEC" w:rsidRDefault="0081564F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81564F">
                    <w:rPr>
                      <w:rFonts w:ascii="Arial" w:hAnsi="Arial"/>
                      <w:b/>
                      <w:bCs/>
                      <w:sz w:val="20"/>
                      <w:szCs w:val="18"/>
                      <w:lang w:val="es-MX"/>
                    </w:rPr>
                    <w:t>BASE DE DATOS</w:t>
                  </w:r>
                </w:p>
              </w:tc>
            </w:tr>
          </w:tbl>
          <w:p w14:paraId="377FE554" w14:textId="77777777" w:rsidR="0081564F" w:rsidRPr="0081564F" w:rsidRDefault="0081564F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18"/>
                <w:lang w:val="es-MX"/>
              </w:rPr>
            </w:pPr>
          </w:p>
          <w:p w14:paraId="15503B0F" w14:textId="11C71186" w:rsidR="005673DD" w:rsidRPr="00756E40" w:rsidRDefault="00544E50" w:rsidP="007108F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Censo Escolar 2016</w:t>
            </w:r>
          </w:p>
          <w:p w14:paraId="5EE58A43" w14:textId="77777777" w:rsidR="0081564F" w:rsidRPr="0081564F" w:rsidRDefault="0081564F" w:rsidP="008156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BE71B3" w:rsidRPr="00326D8B" w14:paraId="0F267B41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45A3B" w14:textId="77777777" w:rsidR="00BE71B3" w:rsidRPr="00326D8B" w:rsidRDefault="00BE71B3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326D8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MX"/>
                    </w:rPr>
                    <w:t>INSTRUMENTO DE RECOLECCIÓN DE INFORMACIÓN</w:t>
                  </w:r>
                </w:p>
              </w:tc>
            </w:tr>
          </w:tbl>
          <w:p w14:paraId="47D886BE" w14:textId="79BF7FBE" w:rsidR="00BE71B3" w:rsidRDefault="00BE71B3" w:rsidP="0081564F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8BC240B" w14:textId="19BF8162" w:rsidR="00B34B93" w:rsidRDefault="00B34B93" w:rsidP="007108F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B34B93">
              <w:rPr>
                <w:rFonts w:ascii="Arial" w:hAnsi="Arial"/>
                <w:sz w:val="20"/>
                <w:szCs w:val="20"/>
              </w:rPr>
              <w:t>201. Matrícula total</w:t>
            </w:r>
            <w:r>
              <w:rPr>
                <w:rFonts w:ascii="Arial" w:hAnsi="Arial"/>
                <w:sz w:val="20"/>
                <w:szCs w:val="20"/>
              </w:rPr>
              <w:t>, por ciclos y sexo, según edad (cedula 5, cuadro 201)</w:t>
            </w:r>
          </w:p>
          <w:p w14:paraId="70151E9A" w14:textId="62D33AC1" w:rsidR="0081564F" w:rsidRDefault="00B34B93" w:rsidP="007108F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B34B93">
              <w:rPr>
                <w:rFonts w:ascii="Arial" w:hAnsi="Arial"/>
                <w:sz w:val="20"/>
                <w:szCs w:val="20"/>
              </w:rPr>
              <w:t>203. Postulantes e ingresantes, por sexo, según carreras y especialidad</w:t>
            </w:r>
            <w:r>
              <w:rPr>
                <w:rFonts w:ascii="Arial" w:hAnsi="Arial"/>
                <w:sz w:val="20"/>
                <w:szCs w:val="20"/>
              </w:rPr>
              <w:t xml:space="preserve"> (cedula 5, cuadro 203)</w:t>
            </w:r>
          </w:p>
          <w:p w14:paraId="1323D407" w14:textId="77777777" w:rsidR="00B34B93" w:rsidRPr="00B34B93" w:rsidRDefault="00B34B93" w:rsidP="00B34B93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709"/>
            </w:tblGrid>
            <w:tr w:rsidR="00BE71B3" w:rsidRPr="00C41719" w14:paraId="5AD5BE3D" w14:textId="77777777" w:rsidTr="00C50CEC">
              <w:tc>
                <w:tcPr>
                  <w:tcW w:w="5000" w:type="pct"/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60B20" w14:textId="77777777" w:rsidR="00BE71B3" w:rsidRPr="001302DB" w:rsidRDefault="00BE71B3" w:rsidP="00F65AEC">
                  <w:pPr>
                    <w:spacing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PE"/>
                    </w:rPr>
                  </w:pPr>
                  <w:r w:rsidRPr="001302DB">
                    <w:rPr>
                      <w:rFonts w:ascii="Arial" w:hAnsi="Arial"/>
                      <w:b/>
                      <w:bCs/>
                      <w:sz w:val="20"/>
                      <w:szCs w:val="20"/>
                      <w:lang w:val="es-PE"/>
                    </w:rPr>
                    <w:t>SINTAXIS</w:t>
                  </w:r>
                </w:p>
              </w:tc>
            </w:tr>
          </w:tbl>
          <w:p w14:paraId="440DF981" w14:textId="77777777" w:rsidR="00A0155C" w:rsidRDefault="00A0155C" w:rsidP="00F65A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FB4E300" w14:textId="77777777" w:rsidR="0065681D" w:rsidRDefault="0065681D" w:rsidP="006568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*La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sintaxis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fue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generada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con el software STATA 13</w:t>
            </w:r>
          </w:p>
          <w:p w14:paraId="3A9E34C8" w14:textId="77777777" w:rsidR="0065681D" w:rsidRDefault="0065681D" w:rsidP="00F65A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25B9D78" w14:textId="77777777" w:rsidR="0065681D" w:rsidRPr="001302DB" w:rsidRDefault="0065681D" w:rsidP="00F65A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BF5F97F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*INDICADOR DE COBERTURA ESP</w:t>
            </w:r>
          </w:p>
          <w:p w14:paraId="26716B82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**********************************************************************</w:t>
            </w:r>
          </w:p>
          <w:p w14:paraId="68362321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FEE9F12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clear all</w:t>
            </w:r>
          </w:p>
          <w:p w14:paraId="00597FF0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set more off</w:t>
            </w:r>
          </w:p>
          <w:p w14:paraId="048DBA30" w14:textId="1F1946CC" w:rsidR="00B13D26" w:rsidRPr="00B13D26" w:rsidRDefault="00537A79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cd "C:</w:t>
            </w: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\Sintaxis\Indicadores Cobertura\COBERTURA_PEDAGOGICA"</w:t>
            </w:r>
          </w:p>
          <w:p w14:paraId="5E540C26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962F86D" w14:textId="3F0E9E3B" w:rsidR="00B13D26" w:rsidRPr="00B13D26" w:rsidRDefault="00537A79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*</w:t>
            </w:r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PADRON CENSO ESCOLAR 2016</w:t>
            </w:r>
          </w:p>
          <w:p w14:paraId="44E159A5" w14:textId="77777777" w:rsidR="00B13D26" w:rsidRPr="001302DB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02DB">
              <w:rPr>
                <w:rFonts w:ascii="Arial" w:hAnsi="Arial" w:cs="Arial"/>
                <w:sz w:val="20"/>
                <w:szCs w:val="20"/>
                <w:lang w:val="en-US"/>
              </w:rPr>
              <w:t>/////////////////////////////////////////////////////////////////////////////////////////////////////</w:t>
            </w:r>
          </w:p>
          <w:p w14:paraId="1438E5F0" w14:textId="77777777" w:rsidR="00B13D26" w:rsidRPr="001302DB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D9D73E" w14:textId="77777777" w:rsidR="00B13D26" w:rsidRPr="001302DB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02DB">
              <w:rPr>
                <w:rFonts w:ascii="Arial" w:hAnsi="Arial" w:cs="Arial"/>
                <w:sz w:val="20"/>
                <w:szCs w:val="20"/>
                <w:lang w:val="en-US"/>
              </w:rPr>
              <w:t>use padron_2016, clear</w:t>
            </w:r>
          </w:p>
          <w:p w14:paraId="7123420F" w14:textId="77777777" w:rsidR="00B13D26" w:rsidRPr="001302DB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AA1FC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anexo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=="0"</w:t>
            </w:r>
          </w:p>
          <w:p w14:paraId="4992DA1B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drop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gestion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=="3"</w:t>
            </w:r>
          </w:p>
          <w:p w14:paraId="21C62789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destring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, replace</w:t>
            </w:r>
          </w:p>
          <w:p w14:paraId="49E7718F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destring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codlocal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, replace</w:t>
            </w:r>
          </w:p>
          <w:p w14:paraId="4EFC5D08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89CCD4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d_niv_mod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=="Superior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Pedagógica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</w:p>
          <w:p w14:paraId="3B83C17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A129D9" w14:textId="2A7252DB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codlocal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cen_edu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dpto</w:t>
            </w:r>
            <w:proofErr w:type="spellEnd"/>
            <w:r w:rsidR="00A22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229E">
              <w:rPr>
                <w:rFonts w:ascii="Arial" w:hAnsi="Arial" w:cs="Arial"/>
                <w:sz w:val="20"/>
                <w:szCs w:val="20"/>
                <w:lang w:val="en-US"/>
              </w:rPr>
              <w:t>prov</w:t>
            </w:r>
            <w:proofErr w:type="spellEnd"/>
          </w:p>
          <w:p w14:paraId="69CF583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778BB8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save padron_2016_final, replace</w:t>
            </w:r>
          </w:p>
          <w:p w14:paraId="4F3800F6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3289C585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A6B4539" w14:textId="7E2438AD" w:rsidR="00B13D26" w:rsidRPr="00B13D26" w:rsidRDefault="00537A79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*</w:t>
            </w:r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BASE DE DATOS NUMERO DE MATRICULADOS EN EDUCACIÓN SUPERIOR PEDAGÓGICA EN 2016</w:t>
            </w:r>
          </w:p>
          <w:p w14:paraId="304B879B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/////////////////////////////////////////////////////////////////////////////////////////////////////</w:t>
            </w:r>
          </w:p>
          <w:p w14:paraId="5C9E0E5D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99E372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use matricula_esp_2016, clear</w:t>
            </w:r>
          </w:p>
          <w:p w14:paraId="48B7683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2559E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anexo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=="0"</w:t>
            </w:r>
          </w:p>
          <w:p w14:paraId="16F79412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nroced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=="05" &amp;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cuadro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=="201"</w:t>
            </w:r>
          </w:p>
          <w:p w14:paraId="32F82825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destring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, replace</w:t>
            </w:r>
          </w:p>
          <w:p w14:paraId="7528D05B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CE26C0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gen matriculados_2016 = d01+ d02</w:t>
            </w:r>
          </w:p>
          <w:p w14:paraId="34B1589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12A12FBE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collapse (sum) matriculados_2016, by(cod_mod)</w:t>
            </w:r>
          </w:p>
          <w:p w14:paraId="4CB1420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73F9EC6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save matriculados_esp_2016, replace</w:t>
            </w:r>
          </w:p>
          <w:p w14:paraId="6EBAF8A7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15E21FFF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1EF240E5" w14:textId="4E9F47AC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*BASE DE DATOS NUMERO DE POSTULANTES EN EDUCACIÓN SUPERIOR PEDAGÓGICA EN 2016</w:t>
            </w:r>
          </w:p>
          <w:p w14:paraId="4EB06110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/////////////////////////////////////////////////////////////////////////////////////////////////////</w:t>
            </w:r>
          </w:p>
          <w:p w14:paraId="5F8894C7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C07AB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use matricula_esp_2016, clear</w:t>
            </w:r>
          </w:p>
          <w:p w14:paraId="142FE7CB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C0428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anexo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=="0"</w:t>
            </w:r>
          </w:p>
          <w:p w14:paraId="6F9828DA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keep if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nroced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=="05" &amp;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cuadro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=="203"</w:t>
            </w:r>
          </w:p>
          <w:p w14:paraId="3B64277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destring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, replace</w:t>
            </w:r>
          </w:p>
          <w:p w14:paraId="0C4B964B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D17158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gen postulantes_2016 = d01+ d02</w:t>
            </w:r>
          </w:p>
          <w:p w14:paraId="5FF61C5A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FAA8B4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collapse (sum) postulantes_2016, by(cod_mod)</w:t>
            </w:r>
          </w:p>
          <w:p w14:paraId="4CAEE44F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C7994B8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save postulantes_esp_2016, replace</w:t>
            </w:r>
          </w:p>
          <w:p w14:paraId="0F4B57E0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876D7C2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2400DD5" w14:textId="4F8D7104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*UNIMOS LAS BASES DE DATOS</w:t>
            </w:r>
          </w:p>
          <w:p w14:paraId="4E5F94D9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/////////////////////////////////////////////////////////////////////////////////////////////////////</w:t>
            </w:r>
          </w:p>
          <w:p w14:paraId="43DE14F6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D6E9D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use padron_2016_final, clear</w:t>
            </w:r>
          </w:p>
          <w:p w14:paraId="04D50FEF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D0F3DA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merge 1:1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using matriculados_esp_2016</w:t>
            </w:r>
          </w:p>
          <w:p w14:paraId="7727DC97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drop if _merge==2</w:t>
            </w:r>
          </w:p>
          <w:p w14:paraId="4F468A5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drop _merge</w:t>
            </w:r>
          </w:p>
          <w:p w14:paraId="6036CEDA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AA5C76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merge 1:1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cod_mod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 xml:space="preserve"> using postulantes_esp_2016</w:t>
            </w:r>
          </w:p>
          <w:p w14:paraId="6FA9D77B" w14:textId="77777777" w:rsidR="00B13D26" w:rsidRPr="000950BF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drop</w:t>
            </w:r>
            <w:proofErr w:type="spellEnd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if</w:t>
            </w:r>
            <w:proofErr w:type="spellEnd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 xml:space="preserve"> _</w:t>
            </w:r>
            <w:proofErr w:type="spellStart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merge</w:t>
            </w:r>
            <w:proofErr w:type="spellEnd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==2</w:t>
            </w:r>
          </w:p>
          <w:p w14:paraId="61BC87DC" w14:textId="77777777" w:rsidR="00B13D26" w:rsidRPr="000950BF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drop</w:t>
            </w:r>
            <w:proofErr w:type="spellEnd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 xml:space="preserve"> _</w:t>
            </w:r>
            <w:proofErr w:type="spellStart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merge</w:t>
            </w:r>
            <w:proofErr w:type="spellEnd"/>
          </w:p>
          <w:p w14:paraId="18B4FEA2" w14:textId="77777777" w:rsidR="00B13D26" w:rsidRPr="000950BF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2993C0E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proofErr w:type="gramStart"/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drop</w:t>
            </w:r>
            <w:proofErr w:type="spellEnd"/>
            <w:proofErr w:type="gramEnd"/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if</w:t>
            </w:r>
            <w:proofErr w:type="spellEnd"/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 xml:space="preserve"> postulantes_2016==.</w:t>
            </w:r>
          </w:p>
          <w:p w14:paraId="7BA1CF8E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9A47F2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*Cálculo de Indicador de Cobertura para Educación Superior Pedagógica</w:t>
            </w:r>
          </w:p>
          <w:p w14:paraId="06AE21A2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14CF501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*Solo para línea de base MINEDU</w:t>
            </w:r>
          </w:p>
          <w:p w14:paraId="60600732" w14:textId="52D480B0" w:rsidR="00B13D26" w:rsidRDefault="001302DB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*</w:t>
            </w:r>
            <w:proofErr w:type="spellStart"/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keep</w:t>
            </w:r>
            <w:proofErr w:type="spellEnd"/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if</w:t>
            </w:r>
            <w:proofErr w:type="spellEnd"/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dpto</w:t>
            </w:r>
            <w:proofErr w:type="spellEnd"/>
            <w:r w:rsidR="00B13D26" w:rsidRPr="00B13D26">
              <w:rPr>
                <w:rFonts w:ascii="Arial" w:hAnsi="Arial" w:cs="Arial"/>
                <w:sz w:val="20"/>
                <w:szCs w:val="20"/>
                <w:lang w:val="es-PE"/>
              </w:rPr>
              <w:t>=="LIMA"</w:t>
            </w:r>
          </w:p>
          <w:p w14:paraId="7EE16AFB" w14:textId="3794E11B" w:rsidR="00A2229E" w:rsidRPr="00B13D26" w:rsidRDefault="00A2229E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PE"/>
              </w:rPr>
              <w:t>keep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PE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PE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==”LIMA”</w:t>
            </w:r>
          </w:p>
          <w:p w14:paraId="5F00EF37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1E5F9F5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*Indicador a nivel nacional</w:t>
            </w:r>
          </w:p>
          <w:p w14:paraId="2EB2F1D7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1F483AC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egen MNP = sum(matriculados_2016)</w:t>
            </w:r>
          </w:p>
          <w:p w14:paraId="3C6C2AA9" w14:textId="77777777" w:rsidR="00B13D26" w:rsidRPr="000950BF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>egen</w:t>
            </w:r>
            <w:proofErr w:type="spellEnd"/>
            <w:r w:rsidRPr="000950BF">
              <w:rPr>
                <w:rFonts w:ascii="Arial" w:hAnsi="Arial" w:cs="Arial"/>
                <w:sz w:val="20"/>
                <w:szCs w:val="20"/>
                <w:lang w:val="es-PE"/>
              </w:rPr>
              <w:t xml:space="preserve"> DNP = sum(postulantes_2016)</w:t>
            </w:r>
          </w:p>
          <w:p w14:paraId="1CAD72AF" w14:textId="77777777" w:rsidR="00B13D26" w:rsidRPr="000950BF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5155C85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gen COB = round((MNP/DNP)*100,0.1)</w:t>
            </w:r>
          </w:p>
          <w:p w14:paraId="5F8B35F4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gen ESP = -(round((MNP/DNP)*100,0.1)-100)</w:t>
            </w:r>
          </w:p>
          <w:p w14:paraId="7AA1B119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13F5A8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*Tasa de cobertura para Educación Superior Pedagógica en 2016</w:t>
            </w:r>
          </w:p>
          <w:p w14:paraId="20C40553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dis COB</w:t>
            </w:r>
          </w:p>
          <w:p w14:paraId="1B0D0C15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E954DAE" w14:textId="77777777" w:rsidR="00B13D26" w:rsidRPr="00B13D26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s-PE"/>
              </w:rPr>
              <w:t>*Brecha de cobertura para Educación Superior Pedagógica en 2016 (Línea de Base)</w:t>
            </w:r>
          </w:p>
          <w:p w14:paraId="76294BAB" w14:textId="20D1F410" w:rsidR="00F65AEC" w:rsidRDefault="00B13D26" w:rsidP="00B13D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D26">
              <w:rPr>
                <w:rFonts w:ascii="Arial" w:hAnsi="Arial" w:cs="Arial"/>
                <w:sz w:val="20"/>
                <w:szCs w:val="20"/>
                <w:lang w:val="en-US"/>
              </w:rPr>
              <w:t>dis ESP</w:t>
            </w:r>
          </w:p>
          <w:p w14:paraId="1D2B7D89" w14:textId="4DB447F2" w:rsidR="00F65AEC" w:rsidRPr="00F65AEC" w:rsidRDefault="00F65AEC" w:rsidP="00521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AD27A" w14:textId="5D53E29B" w:rsidR="00682BDA" w:rsidRPr="00EF4BED" w:rsidRDefault="00682BDA" w:rsidP="00EF4BED">
      <w:pPr>
        <w:spacing w:after="0" w:line="240" w:lineRule="auto"/>
        <w:rPr>
          <w:sz w:val="20"/>
          <w:szCs w:val="20"/>
        </w:rPr>
      </w:pPr>
    </w:p>
    <w:sectPr w:rsidR="00682BDA" w:rsidRPr="00EF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65E"/>
    <w:multiLevelType w:val="hybridMultilevel"/>
    <w:tmpl w:val="79A42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097"/>
    <w:multiLevelType w:val="hybridMultilevel"/>
    <w:tmpl w:val="031ED44C"/>
    <w:lvl w:ilvl="0" w:tplc="FB360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3514E"/>
    <w:multiLevelType w:val="hybridMultilevel"/>
    <w:tmpl w:val="75A81664"/>
    <w:lvl w:ilvl="0" w:tplc="42563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E50FC"/>
    <w:multiLevelType w:val="hybridMultilevel"/>
    <w:tmpl w:val="80EEAD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86486"/>
    <w:multiLevelType w:val="hybridMultilevel"/>
    <w:tmpl w:val="65528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33845"/>
    <w:multiLevelType w:val="hybridMultilevel"/>
    <w:tmpl w:val="66C072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27F58"/>
    <w:multiLevelType w:val="hybridMultilevel"/>
    <w:tmpl w:val="7D20A5C0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E5C53"/>
    <w:multiLevelType w:val="hybridMultilevel"/>
    <w:tmpl w:val="B4546A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D0200"/>
    <w:multiLevelType w:val="hybridMultilevel"/>
    <w:tmpl w:val="9F90E376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A1138"/>
    <w:multiLevelType w:val="hybridMultilevel"/>
    <w:tmpl w:val="CB925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B3DC9"/>
    <w:multiLevelType w:val="hybridMultilevel"/>
    <w:tmpl w:val="B89CB2D6"/>
    <w:lvl w:ilvl="0" w:tplc="D200F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E2522"/>
    <w:multiLevelType w:val="hybridMultilevel"/>
    <w:tmpl w:val="722A17D4"/>
    <w:lvl w:ilvl="0" w:tplc="42563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DA"/>
    <w:rsid w:val="00022AC1"/>
    <w:rsid w:val="000271CD"/>
    <w:rsid w:val="00057412"/>
    <w:rsid w:val="00065977"/>
    <w:rsid w:val="000950BF"/>
    <w:rsid w:val="000D2F13"/>
    <w:rsid w:val="000F4BD4"/>
    <w:rsid w:val="0010480A"/>
    <w:rsid w:val="00114446"/>
    <w:rsid w:val="0011655D"/>
    <w:rsid w:val="0011743C"/>
    <w:rsid w:val="001302DB"/>
    <w:rsid w:val="00140FA3"/>
    <w:rsid w:val="00146958"/>
    <w:rsid w:val="00150433"/>
    <w:rsid w:val="0015529E"/>
    <w:rsid w:val="00157F2E"/>
    <w:rsid w:val="00181F4D"/>
    <w:rsid w:val="001E59E4"/>
    <w:rsid w:val="001E5B57"/>
    <w:rsid w:val="001F57C6"/>
    <w:rsid w:val="002010B4"/>
    <w:rsid w:val="00227E35"/>
    <w:rsid w:val="0027537A"/>
    <w:rsid w:val="0028139A"/>
    <w:rsid w:val="002873F1"/>
    <w:rsid w:val="002C07FF"/>
    <w:rsid w:val="003032A0"/>
    <w:rsid w:val="00325AB4"/>
    <w:rsid w:val="00326D8B"/>
    <w:rsid w:val="00375A3D"/>
    <w:rsid w:val="00375F02"/>
    <w:rsid w:val="00380115"/>
    <w:rsid w:val="00392D7A"/>
    <w:rsid w:val="003A3714"/>
    <w:rsid w:val="003D68D0"/>
    <w:rsid w:val="003E4358"/>
    <w:rsid w:val="003F744B"/>
    <w:rsid w:val="004332E6"/>
    <w:rsid w:val="00451689"/>
    <w:rsid w:val="004563BD"/>
    <w:rsid w:val="00457E33"/>
    <w:rsid w:val="00461695"/>
    <w:rsid w:val="00473F6A"/>
    <w:rsid w:val="004765C3"/>
    <w:rsid w:val="004C32DA"/>
    <w:rsid w:val="004D505E"/>
    <w:rsid w:val="005215C1"/>
    <w:rsid w:val="00537A79"/>
    <w:rsid w:val="00544E50"/>
    <w:rsid w:val="00561F69"/>
    <w:rsid w:val="005673DD"/>
    <w:rsid w:val="0058314A"/>
    <w:rsid w:val="005B38DD"/>
    <w:rsid w:val="005B5B45"/>
    <w:rsid w:val="006012C9"/>
    <w:rsid w:val="006211B1"/>
    <w:rsid w:val="00636E06"/>
    <w:rsid w:val="0065681D"/>
    <w:rsid w:val="00682BDA"/>
    <w:rsid w:val="00692C0A"/>
    <w:rsid w:val="006A30D4"/>
    <w:rsid w:val="006C2338"/>
    <w:rsid w:val="006C2A9F"/>
    <w:rsid w:val="006C4391"/>
    <w:rsid w:val="007108FD"/>
    <w:rsid w:val="0071425E"/>
    <w:rsid w:val="00750E51"/>
    <w:rsid w:val="00756E40"/>
    <w:rsid w:val="0076579B"/>
    <w:rsid w:val="007674F4"/>
    <w:rsid w:val="007B2FAF"/>
    <w:rsid w:val="007C7FF5"/>
    <w:rsid w:val="007F5A0B"/>
    <w:rsid w:val="0080721C"/>
    <w:rsid w:val="008100CE"/>
    <w:rsid w:val="0081564F"/>
    <w:rsid w:val="0082154D"/>
    <w:rsid w:val="008503AB"/>
    <w:rsid w:val="00851572"/>
    <w:rsid w:val="008602B3"/>
    <w:rsid w:val="008611F2"/>
    <w:rsid w:val="00862B8A"/>
    <w:rsid w:val="0086325D"/>
    <w:rsid w:val="00865A2D"/>
    <w:rsid w:val="00895BE2"/>
    <w:rsid w:val="008A04DA"/>
    <w:rsid w:val="008B199B"/>
    <w:rsid w:val="008C7064"/>
    <w:rsid w:val="008D7683"/>
    <w:rsid w:val="008F68D7"/>
    <w:rsid w:val="00904614"/>
    <w:rsid w:val="009228E8"/>
    <w:rsid w:val="00952CE9"/>
    <w:rsid w:val="00977416"/>
    <w:rsid w:val="009C2261"/>
    <w:rsid w:val="009C3EB3"/>
    <w:rsid w:val="009F60DA"/>
    <w:rsid w:val="00A0155C"/>
    <w:rsid w:val="00A156B3"/>
    <w:rsid w:val="00A2229E"/>
    <w:rsid w:val="00A2751F"/>
    <w:rsid w:val="00A50438"/>
    <w:rsid w:val="00AB2228"/>
    <w:rsid w:val="00B13D26"/>
    <w:rsid w:val="00B34B93"/>
    <w:rsid w:val="00B3623F"/>
    <w:rsid w:val="00B5070A"/>
    <w:rsid w:val="00B5235E"/>
    <w:rsid w:val="00B61F77"/>
    <w:rsid w:val="00B6236D"/>
    <w:rsid w:val="00B67BB2"/>
    <w:rsid w:val="00B70E1C"/>
    <w:rsid w:val="00B73B75"/>
    <w:rsid w:val="00B744E3"/>
    <w:rsid w:val="00B754FA"/>
    <w:rsid w:val="00BA7C63"/>
    <w:rsid w:val="00BD6520"/>
    <w:rsid w:val="00BD681B"/>
    <w:rsid w:val="00BE71B3"/>
    <w:rsid w:val="00C17F62"/>
    <w:rsid w:val="00C26CEE"/>
    <w:rsid w:val="00C41719"/>
    <w:rsid w:val="00C533FD"/>
    <w:rsid w:val="00CC5E63"/>
    <w:rsid w:val="00CE5620"/>
    <w:rsid w:val="00CF36CB"/>
    <w:rsid w:val="00D02D83"/>
    <w:rsid w:val="00D27A9F"/>
    <w:rsid w:val="00D570EF"/>
    <w:rsid w:val="00D738BD"/>
    <w:rsid w:val="00D8733B"/>
    <w:rsid w:val="00D90B6A"/>
    <w:rsid w:val="00DA243A"/>
    <w:rsid w:val="00DC313F"/>
    <w:rsid w:val="00DD2054"/>
    <w:rsid w:val="00DE0BDE"/>
    <w:rsid w:val="00E052DE"/>
    <w:rsid w:val="00E11EDB"/>
    <w:rsid w:val="00E47510"/>
    <w:rsid w:val="00E56A51"/>
    <w:rsid w:val="00EA6763"/>
    <w:rsid w:val="00EC68F4"/>
    <w:rsid w:val="00ED48C1"/>
    <w:rsid w:val="00EF4BED"/>
    <w:rsid w:val="00F21866"/>
    <w:rsid w:val="00F21BDF"/>
    <w:rsid w:val="00F54557"/>
    <w:rsid w:val="00F61D63"/>
    <w:rsid w:val="00F648EA"/>
    <w:rsid w:val="00F65AEC"/>
    <w:rsid w:val="00F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9AD"/>
  <w15:chartTrackingRefBased/>
  <w15:docId w15:val="{F917DEB7-AF1A-45B9-857D-81DF409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82B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9C3E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1F4D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8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5097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Castañeda Veliz, Carlos Celso</dc:creator>
  <cp:keywords/>
  <dc:description/>
  <cp:lastModifiedBy>PAULO DANIEL MENDOZA BARRANTES</cp:lastModifiedBy>
  <cp:revision>4</cp:revision>
  <dcterms:created xsi:type="dcterms:W3CDTF">2019-02-15T18:01:00Z</dcterms:created>
  <dcterms:modified xsi:type="dcterms:W3CDTF">2019-02-15T20:40:00Z</dcterms:modified>
</cp:coreProperties>
</file>