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795B" w:rsidRPr="00DF529C" w:rsidRDefault="002E3E06">
      <w:pPr>
        <w:jc w:val="center"/>
        <w:rPr>
          <w:rFonts w:asciiTheme="minorHAnsi" w:hAnsiTheme="minorHAnsi"/>
          <w:b/>
          <w:bCs/>
          <w:sz w:val="22"/>
          <w:szCs w:val="22"/>
        </w:rPr>
      </w:pPr>
      <w:r w:rsidRPr="00DF529C">
        <w:rPr>
          <w:rFonts w:asciiTheme="minorHAnsi" w:hAnsiTheme="minorHAnsi"/>
          <w:b/>
          <w:bCs/>
          <w:sz w:val="22"/>
          <w:szCs w:val="22"/>
        </w:rPr>
        <w:t xml:space="preserve">ANEXO N° 01: </w:t>
      </w:r>
    </w:p>
    <w:p w:rsidR="002E3E06" w:rsidRPr="00DF529C" w:rsidRDefault="002E3E06">
      <w:pPr>
        <w:jc w:val="center"/>
        <w:rPr>
          <w:rFonts w:asciiTheme="minorHAnsi" w:hAnsiTheme="minorHAnsi"/>
          <w:b/>
          <w:bCs/>
          <w:sz w:val="22"/>
          <w:szCs w:val="22"/>
        </w:rPr>
      </w:pPr>
      <w:r w:rsidRPr="00DF529C">
        <w:rPr>
          <w:rFonts w:asciiTheme="minorHAnsi" w:hAnsiTheme="minorHAnsi"/>
          <w:b/>
          <w:bCs/>
          <w:sz w:val="22"/>
          <w:szCs w:val="22"/>
        </w:rPr>
        <w:t>MODELO DE RESOLUCIÓN DE ALCALDÍA</w:t>
      </w:r>
    </w:p>
    <w:p w:rsidR="002E3E06" w:rsidRPr="00DF529C" w:rsidRDefault="002E3E06">
      <w:pPr>
        <w:jc w:val="center"/>
        <w:rPr>
          <w:rFonts w:asciiTheme="minorHAnsi" w:hAnsiTheme="minorHAnsi"/>
          <w:b/>
          <w:bCs/>
          <w:sz w:val="22"/>
          <w:szCs w:val="22"/>
          <w:u w:val="single"/>
        </w:rPr>
      </w:pPr>
    </w:p>
    <w:p w:rsidR="003F04CA" w:rsidRPr="00DF529C" w:rsidRDefault="003F04CA">
      <w:pPr>
        <w:jc w:val="center"/>
        <w:rPr>
          <w:rFonts w:asciiTheme="minorHAnsi" w:hAnsiTheme="minorHAnsi"/>
          <w:b/>
          <w:bCs/>
          <w:sz w:val="22"/>
          <w:szCs w:val="22"/>
          <w:u w:val="single"/>
        </w:rPr>
      </w:pPr>
      <w:r w:rsidRPr="00DF529C">
        <w:rPr>
          <w:rFonts w:asciiTheme="minorHAnsi" w:hAnsiTheme="minorHAnsi"/>
          <w:b/>
          <w:bCs/>
          <w:sz w:val="22"/>
          <w:szCs w:val="22"/>
          <w:u w:val="single"/>
        </w:rPr>
        <w:t xml:space="preserve">RESOLUCIÓN DE ALCALDÍA Nº </w:t>
      </w:r>
      <w:r w:rsidR="009B3F7B" w:rsidRPr="00DF529C">
        <w:rPr>
          <w:rFonts w:asciiTheme="minorHAnsi" w:hAnsiTheme="minorHAnsi"/>
          <w:b/>
          <w:bCs/>
          <w:sz w:val="22"/>
          <w:szCs w:val="22"/>
          <w:u w:val="single"/>
        </w:rPr>
        <w:t>XXXXXX</w:t>
      </w:r>
      <w:r w:rsidRPr="00DF529C">
        <w:rPr>
          <w:rFonts w:asciiTheme="minorHAnsi" w:hAnsiTheme="minorHAnsi"/>
          <w:b/>
          <w:bCs/>
          <w:sz w:val="22"/>
          <w:szCs w:val="22"/>
          <w:u w:val="single"/>
        </w:rPr>
        <w:t>-201</w:t>
      </w:r>
      <w:r w:rsidR="009B3F7B" w:rsidRPr="00DF529C">
        <w:rPr>
          <w:rFonts w:asciiTheme="minorHAnsi" w:hAnsiTheme="minorHAnsi"/>
          <w:b/>
          <w:bCs/>
          <w:sz w:val="22"/>
          <w:szCs w:val="22"/>
          <w:u w:val="single"/>
        </w:rPr>
        <w:t>4-A/XXXXX</w:t>
      </w:r>
    </w:p>
    <w:p w:rsidR="003F04CA" w:rsidRPr="00DF529C" w:rsidRDefault="003F04CA">
      <w:pPr>
        <w:widowControl w:val="0"/>
        <w:autoSpaceDE w:val="0"/>
        <w:spacing w:line="225" w:lineRule="exact"/>
        <w:ind w:left="700" w:right="20"/>
        <w:rPr>
          <w:rFonts w:asciiTheme="minorHAnsi" w:hAnsiTheme="minorHAnsi" w:cs="Arial"/>
          <w:sz w:val="22"/>
          <w:szCs w:val="22"/>
        </w:rPr>
      </w:pPr>
    </w:p>
    <w:p w:rsidR="00D2585A" w:rsidRPr="00DF529C" w:rsidRDefault="00D2585A">
      <w:pPr>
        <w:pStyle w:val="Textoindependiente"/>
        <w:spacing w:before="0" w:after="0" w:line="200" w:lineRule="atLeast"/>
        <w:ind w:firstLine="708"/>
        <w:rPr>
          <w:rFonts w:asciiTheme="minorHAnsi" w:hAnsiTheme="minorHAnsi" w:cs="Arial"/>
          <w:b/>
          <w:sz w:val="22"/>
          <w:szCs w:val="22"/>
        </w:rPr>
      </w:pPr>
    </w:p>
    <w:p w:rsidR="00DF529C" w:rsidRPr="00DF529C" w:rsidRDefault="00DF529C" w:rsidP="00DF529C">
      <w:pPr>
        <w:spacing w:line="200" w:lineRule="atLeast"/>
        <w:ind w:firstLine="708"/>
        <w:jc w:val="both"/>
        <w:rPr>
          <w:rFonts w:asciiTheme="minorHAnsi" w:hAnsiTheme="minorHAnsi" w:cs="Arial"/>
          <w:iCs/>
        </w:rPr>
      </w:pPr>
      <w:r w:rsidRPr="00DF529C">
        <w:rPr>
          <w:rFonts w:asciiTheme="minorHAnsi" w:hAnsiTheme="minorHAnsi" w:cs="Arial"/>
          <w:b/>
          <w:bCs/>
          <w:iCs/>
        </w:rPr>
        <w:t>VISTO:</w:t>
      </w:r>
      <w:r w:rsidRPr="00DF529C">
        <w:rPr>
          <w:rFonts w:asciiTheme="minorHAnsi" w:hAnsiTheme="minorHAnsi" w:cs="Arial"/>
          <w:iCs/>
        </w:rPr>
        <w:t xml:space="preserve"> </w:t>
      </w:r>
    </w:p>
    <w:p w:rsidR="00DF529C" w:rsidRPr="00DF529C" w:rsidRDefault="00DF529C" w:rsidP="00DF529C">
      <w:pPr>
        <w:widowControl w:val="0"/>
        <w:autoSpaceDE w:val="0"/>
        <w:spacing w:line="200" w:lineRule="atLeast"/>
        <w:jc w:val="both"/>
        <w:rPr>
          <w:rFonts w:asciiTheme="minorHAnsi" w:hAnsiTheme="minorHAnsi" w:cs="Arial"/>
          <w:b/>
          <w:bCs/>
        </w:rPr>
      </w:pPr>
      <w:r w:rsidRPr="00DF529C">
        <w:rPr>
          <w:rFonts w:asciiTheme="minorHAnsi" w:hAnsiTheme="minorHAnsi" w:cs="Arial"/>
        </w:rPr>
        <w:tab/>
      </w:r>
      <w:r w:rsidRPr="00DF529C">
        <w:rPr>
          <w:rFonts w:asciiTheme="minorHAnsi" w:hAnsiTheme="minorHAnsi" w:cs="Arial"/>
        </w:rPr>
        <w:tab/>
        <w:t>El Informe N° XXXXX-2014-XXXXX de la Gerencia (puede incluirse a la Gerencia Municipal, Gerencia de Asesoría Jurídica o del funcionario designado como Coordinador del PI) sobre la conformación del Equipo de Trabajo responsable del cumplimiento de la meta respecto a “Realizar acciones de monitoreo al mantenimiento preventivo en los locales escolares de la jurisdicción” del Plan de Incentivos para la Mejora de la Gestión y Modernización Municipal 2014 aprobada mediante Decreto Supremo N° 015-2014-EF.</w:t>
      </w:r>
    </w:p>
    <w:p w:rsidR="00DF529C" w:rsidRPr="00DF529C" w:rsidRDefault="00DF529C" w:rsidP="00DF529C">
      <w:pPr>
        <w:widowControl w:val="0"/>
        <w:tabs>
          <w:tab w:val="left" w:pos="750"/>
        </w:tabs>
        <w:autoSpaceDE w:val="0"/>
        <w:spacing w:line="200" w:lineRule="atLeast"/>
        <w:jc w:val="both"/>
        <w:rPr>
          <w:rFonts w:asciiTheme="minorHAnsi" w:hAnsiTheme="minorHAnsi" w:cs="Arial"/>
          <w:b/>
          <w:bCs/>
        </w:rPr>
      </w:pPr>
      <w:r w:rsidRPr="00DF529C">
        <w:rPr>
          <w:rFonts w:asciiTheme="minorHAnsi" w:hAnsiTheme="minorHAnsi" w:cs="Arial"/>
          <w:b/>
          <w:bCs/>
        </w:rPr>
        <w:tab/>
      </w:r>
    </w:p>
    <w:p w:rsidR="00DF529C" w:rsidRPr="00DF529C" w:rsidRDefault="00DF529C" w:rsidP="00DF529C">
      <w:pPr>
        <w:widowControl w:val="0"/>
        <w:tabs>
          <w:tab w:val="left" w:pos="750"/>
        </w:tabs>
        <w:autoSpaceDE w:val="0"/>
        <w:spacing w:line="200" w:lineRule="atLeast"/>
        <w:jc w:val="both"/>
        <w:rPr>
          <w:rFonts w:asciiTheme="minorHAnsi" w:hAnsiTheme="minorHAnsi" w:cs="Arial"/>
          <w:b/>
          <w:bCs/>
        </w:rPr>
      </w:pPr>
      <w:r w:rsidRPr="00DF529C">
        <w:rPr>
          <w:rFonts w:asciiTheme="minorHAnsi" w:hAnsiTheme="minorHAnsi" w:cs="Arial"/>
          <w:b/>
          <w:bCs/>
        </w:rPr>
        <w:tab/>
        <w:t xml:space="preserve">CONSIDERANDO: </w:t>
      </w:r>
    </w:p>
    <w:p w:rsidR="00DF529C" w:rsidRPr="00DF529C" w:rsidRDefault="00DF529C" w:rsidP="00DF529C">
      <w:pPr>
        <w:widowControl w:val="0"/>
        <w:autoSpaceDE w:val="0"/>
        <w:jc w:val="both"/>
        <w:rPr>
          <w:rFonts w:asciiTheme="minorHAnsi" w:hAnsiTheme="minorHAnsi"/>
        </w:rPr>
      </w:pPr>
      <w:r w:rsidRPr="00DF529C">
        <w:rPr>
          <w:rFonts w:asciiTheme="minorHAnsi" w:hAnsiTheme="minorHAnsi"/>
        </w:rPr>
        <w:tab/>
      </w:r>
    </w:p>
    <w:p w:rsidR="00DF529C" w:rsidRPr="00DF529C" w:rsidRDefault="00DF529C" w:rsidP="00DF529C">
      <w:pPr>
        <w:widowControl w:val="0"/>
        <w:autoSpaceDE w:val="0"/>
        <w:ind w:firstLine="708"/>
        <w:jc w:val="both"/>
        <w:rPr>
          <w:rFonts w:asciiTheme="minorHAnsi" w:hAnsiTheme="minorHAnsi"/>
        </w:rPr>
      </w:pPr>
      <w:r w:rsidRPr="00DF529C">
        <w:rPr>
          <w:rFonts w:asciiTheme="minorHAnsi" w:hAnsiTheme="minorHAnsi"/>
        </w:rPr>
        <w:t>Que, de acuerdo a la Constitución Política del Estado en su artículo 194°, en concordancia con el artículo II del Título Preliminar de la Ley N° 27972 – Ley Orgánica de Municipalidades, establece que los gobiernos locales gozan de autonomía política, económica y administrativa en los asuntos de su competencia, esta autonomía radica en la facultad de ejercer actos de gobierno y de administración con sujeción al ordenamiento jurídico;</w:t>
      </w:r>
    </w:p>
    <w:p w:rsidR="00DF529C" w:rsidRDefault="00DF529C" w:rsidP="00DF529C">
      <w:pPr>
        <w:widowControl w:val="0"/>
        <w:autoSpaceDE w:val="0"/>
        <w:ind w:firstLine="708"/>
        <w:jc w:val="both"/>
        <w:rPr>
          <w:rFonts w:asciiTheme="minorHAnsi" w:hAnsiTheme="minorHAnsi"/>
        </w:rPr>
      </w:pPr>
    </w:p>
    <w:p w:rsidR="00DF529C" w:rsidRPr="00DF529C" w:rsidRDefault="00DF529C" w:rsidP="00DF529C">
      <w:pPr>
        <w:widowControl w:val="0"/>
        <w:autoSpaceDE w:val="0"/>
        <w:ind w:firstLine="708"/>
        <w:jc w:val="both"/>
        <w:rPr>
          <w:rFonts w:asciiTheme="minorHAnsi" w:hAnsiTheme="minorHAnsi" w:cs="Arial"/>
        </w:rPr>
      </w:pPr>
      <w:r w:rsidRPr="00DF529C">
        <w:rPr>
          <w:rFonts w:asciiTheme="minorHAnsi" w:hAnsiTheme="minorHAnsi"/>
        </w:rPr>
        <w:t>Que, mediante Ley Nº 29332 y modificatoria, se crea el Plan de Incentivos a la Mejora de la Gestión Municipal, cuyo objeto es incentivar a los gobiernos locales a mejorar los niveles de recaudación de los tributos municipales, la ejecución del gasto en inversión y la reducción de los índices de desnutrición crónica infantil a nivel nacional;</w:t>
      </w:r>
    </w:p>
    <w:p w:rsidR="00DF529C" w:rsidRDefault="00DF529C" w:rsidP="00DF529C">
      <w:pPr>
        <w:widowControl w:val="0"/>
        <w:autoSpaceDE w:val="0"/>
        <w:ind w:firstLine="708"/>
        <w:jc w:val="both"/>
        <w:rPr>
          <w:rFonts w:asciiTheme="minorHAnsi" w:hAnsiTheme="minorHAnsi"/>
        </w:rPr>
      </w:pPr>
    </w:p>
    <w:p w:rsidR="00DF529C" w:rsidRPr="00DF529C" w:rsidRDefault="00DF529C" w:rsidP="00DF529C">
      <w:pPr>
        <w:widowControl w:val="0"/>
        <w:autoSpaceDE w:val="0"/>
        <w:ind w:firstLine="708"/>
        <w:jc w:val="both"/>
        <w:rPr>
          <w:rFonts w:asciiTheme="minorHAnsi" w:hAnsiTheme="minorHAnsi"/>
        </w:rPr>
      </w:pPr>
      <w:r w:rsidRPr="00DF529C">
        <w:rPr>
          <w:rFonts w:asciiTheme="minorHAnsi" w:hAnsiTheme="minorHAnsi"/>
        </w:rPr>
        <w:t>Que, la Novena Disposición Complementaria Final de la Ley Nº 29812, Ley de Presupuesto del Sector Público para el Año Fiscal 2012, incorpora como parte de los objetivos del Plan de Incentivos a la Mejora de la Gestión Municipal, el que en adelante se denomina “Plan de Incentivos a la Mejora de la Gestión y Modernización Municipal”, la simplificación de trámites, la mejora en la provisión de servicios públicos y la prevención de riesgos;</w:t>
      </w:r>
    </w:p>
    <w:p w:rsidR="00DF529C" w:rsidRDefault="00DF529C" w:rsidP="00DF529C">
      <w:pPr>
        <w:widowControl w:val="0"/>
        <w:autoSpaceDE w:val="0"/>
        <w:ind w:firstLine="708"/>
        <w:jc w:val="both"/>
        <w:rPr>
          <w:rFonts w:asciiTheme="minorHAnsi" w:hAnsiTheme="minorHAnsi"/>
        </w:rPr>
      </w:pPr>
    </w:p>
    <w:p w:rsidR="00DF529C" w:rsidRPr="00DF529C" w:rsidRDefault="00DF529C" w:rsidP="00DF529C">
      <w:pPr>
        <w:widowControl w:val="0"/>
        <w:autoSpaceDE w:val="0"/>
        <w:ind w:firstLine="708"/>
        <w:jc w:val="both"/>
        <w:rPr>
          <w:rFonts w:asciiTheme="minorHAnsi" w:hAnsiTheme="minorHAnsi"/>
        </w:rPr>
      </w:pPr>
      <w:r w:rsidRPr="00DF529C">
        <w:rPr>
          <w:rFonts w:asciiTheme="minorHAnsi" w:hAnsiTheme="minorHAnsi"/>
        </w:rPr>
        <w:t>Que, mediante Decreto Supremo N° 015-2014-EF del Ministerio de Economía y Finanzas se aprueban los procedimientos para el cumplimiento de Metas y la Asignación de los Recursos del Plan de Incentivos a la Mejora de la Gestión y Modernización Municipal del año 2014, el mismo que establece come meta 17 (o 21, según corresponda) el “Realizar acciones de monitoreo al mantenimiento preventivo de los locales escolares de la jurisdicción”, meta a cargo del Ministerio de Educación;</w:t>
      </w:r>
    </w:p>
    <w:p w:rsidR="00DF529C" w:rsidRPr="00DF529C" w:rsidRDefault="00DF529C" w:rsidP="00DF529C">
      <w:pPr>
        <w:widowControl w:val="0"/>
        <w:autoSpaceDE w:val="0"/>
        <w:ind w:firstLine="708"/>
        <w:jc w:val="both"/>
        <w:rPr>
          <w:rFonts w:asciiTheme="minorHAnsi" w:hAnsiTheme="minorHAnsi"/>
        </w:rPr>
      </w:pPr>
    </w:p>
    <w:p w:rsidR="00DF529C" w:rsidRDefault="00DF529C" w:rsidP="00DF529C">
      <w:pPr>
        <w:widowControl w:val="0"/>
        <w:autoSpaceDE w:val="0"/>
        <w:ind w:firstLine="708"/>
        <w:jc w:val="both"/>
        <w:rPr>
          <w:rFonts w:asciiTheme="minorHAnsi" w:hAnsiTheme="minorHAnsi"/>
        </w:rPr>
      </w:pPr>
      <w:r w:rsidRPr="00DF529C">
        <w:rPr>
          <w:rFonts w:asciiTheme="minorHAnsi" w:hAnsiTheme="minorHAnsi"/>
        </w:rPr>
        <w:t>Que, mediante Resolución Directoral N° 003-2014-EF/50.01 de la Dirección General de Presupuesto Público del Ministerio de Economía y Finanzas, se aprueban los instructivos para el cumplimiento de las metas en el marco del Plan de Incentivos a la Mejora de la Gestión y Modernización Municipal para las metas 01 al 25, cuya fecha de vencimiento es el 31 de julio del 2014;</w:t>
      </w:r>
    </w:p>
    <w:p w:rsidR="00DF529C" w:rsidRPr="00DF529C" w:rsidRDefault="00DF529C" w:rsidP="00DF529C">
      <w:pPr>
        <w:widowControl w:val="0"/>
        <w:autoSpaceDE w:val="0"/>
        <w:ind w:firstLine="708"/>
        <w:jc w:val="both"/>
        <w:rPr>
          <w:rFonts w:asciiTheme="minorHAnsi" w:hAnsiTheme="minorHAnsi"/>
        </w:rPr>
      </w:pPr>
    </w:p>
    <w:p w:rsidR="00DF529C" w:rsidRDefault="00DF529C" w:rsidP="00DF529C">
      <w:pPr>
        <w:widowControl w:val="0"/>
        <w:autoSpaceDE w:val="0"/>
        <w:ind w:firstLine="708"/>
        <w:jc w:val="both"/>
        <w:rPr>
          <w:rFonts w:asciiTheme="minorHAnsi" w:hAnsiTheme="minorHAnsi"/>
        </w:rPr>
      </w:pPr>
      <w:r w:rsidRPr="00DF529C">
        <w:rPr>
          <w:rFonts w:asciiTheme="minorHAnsi" w:hAnsiTheme="minorHAnsi"/>
        </w:rPr>
        <w:t>Que, para el cumplimiento de la meta referida a “Realizar acciones de monitoreo al mantenimiento preventivo de los locales escolares de la jurisdicción”, se hace necesario conformar un Equipo de Trabajo responsable del cumplimiento de dicha meta;</w:t>
      </w:r>
    </w:p>
    <w:p w:rsidR="00DF529C" w:rsidRPr="00DF529C" w:rsidRDefault="00DF529C" w:rsidP="00DF529C">
      <w:pPr>
        <w:widowControl w:val="0"/>
        <w:autoSpaceDE w:val="0"/>
        <w:ind w:firstLine="708"/>
        <w:jc w:val="both"/>
        <w:rPr>
          <w:rFonts w:asciiTheme="minorHAnsi" w:hAnsiTheme="minorHAnsi"/>
        </w:rPr>
      </w:pPr>
      <w:bookmarkStart w:id="0" w:name="_GoBack"/>
      <w:bookmarkEnd w:id="0"/>
    </w:p>
    <w:p w:rsidR="00DF529C" w:rsidRPr="00DF529C" w:rsidRDefault="00DF529C" w:rsidP="00DF529C">
      <w:pPr>
        <w:widowControl w:val="0"/>
        <w:autoSpaceDE w:val="0"/>
        <w:ind w:firstLine="708"/>
        <w:jc w:val="both"/>
        <w:rPr>
          <w:rFonts w:asciiTheme="minorHAnsi" w:hAnsiTheme="minorHAnsi"/>
        </w:rPr>
      </w:pPr>
      <w:r w:rsidRPr="00DF529C">
        <w:rPr>
          <w:rFonts w:asciiTheme="minorHAnsi" w:hAnsiTheme="minorHAnsi"/>
        </w:rPr>
        <w:t>Que, estando a lo expuesto y en uso de las facultades conferidas en el numeral 6 del artículo 20° de la Ley Nº 27972, Ley Orgánica de Municipalidades;</w:t>
      </w:r>
    </w:p>
    <w:p w:rsidR="00DF529C" w:rsidRPr="00DF529C" w:rsidRDefault="00DF529C" w:rsidP="00DF529C">
      <w:pPr>
        <w:widowControl w:val="0"/>
        <w:autoSpaceDE w:val="0"/>
        <w:jc w:val="both"/>
        <w:rPr>
          <w:rFonts w:asciiTheme="minorHAnsi" w:hAnsiTheme="minorHAnsi"/>
        </w:rPr>
      </w:pPr>
      <w:r w:rsidRPr="00DF529C">
        <w:rPr>
          <w:rFonts w:asciiTheme="minorHAnsi" w:hAnsiTheme="minorHAnsi"/>
        </w:rPr>
        <w:tab/>
      </w:r>
    </w:p>
    <w:p w:rsidR="00DF529C" w:rsidRPr="00DF529C" w:rsidRDefault="00DF529C" w:rsidP="00DF529C">
      <w:pPr>
        <w:widowControl w:val="0"/>
        <w:autoSpaceDE w:val="0"/>
        <w:ind w:firstLine="708"/>
        <w:jc w:val="both"/>
        <w:rPr>
          <w:rFonts w:asciiTheme="minorHAnsi" w:hAnsiTheme="minorHAnsi"/>
          <w:b/>
        </w:rPr>
      </w:pPr>
      <w:r w:rsidRPr="00DF529C">
        <w:rPr>
          <w:rFonts w:asciiTheme="minorHAnsi" w:hAnsiTheme="minorHAnsi"/>
          <w:b/>
        </w:rPr>
        <w:t xml:space="preserve">SE RESUELVE: </w:t>
      </w:r>
    </w:p>
    <w:p w:rsidR="00DF529C" w:rsidRPr="00DF529C" w:rsidRDefault="00DF529C" w:rsidP="00DF529C">
      <w:pPr>
        <w:widowControl w:val="0"/>
        <w:autoSpaceDE w:val="0"/>
        <w:jc w:val="both"/>
        <w:rPr>
          <w:rFonts w:asciiTheme="minorHAnsi" w:hAnsiTheme="minorHAnsi"/>
        </w:rPr>
      </w:pPr>
      <w:r w:rsidRPr="00DF529C">
        <w:rPr>
          <w:rFonts w:asciiTheme="minorHAnsi" w:hAnsiTheme="minorHAnsi"/>
        </w:rPr>
        <w:tab/>
      </w:r>
    </w:p>
    <w:p w:rsidR="00DF529C" w:rsidRPr="00DF529C" w:rsidRDefault="00DF529C" w:rsidP="00DF529C">
      <w:pPr>
        <w:widowControl w:val="0"/>
        <w:autoSpaceDE w:val="0"/>
        <w:jc w:val="both"/>
        <w:rPr>
          <w:rFonts w:asciiTheme="minorHAnsi" w:hAnsiTheme="minorHAnsi"/>
        </w:rPr>
      </w:pPr>
      <w:r w:rsidRPr="00DF529C">
        <w:rPr>
          <w:rFonts w:asciiTheme="minorHAnsi" w:hAnsiTheme="minorHAnsi"/>
        </w:rPr>
        <w:tab/>
      </w:r>
      <w:r w:rsidRPr="00DF529C">
        <w:rPr>
          <w:rFonts w:asciiTheme="minorHAnsi" w:hAnsiTheme="minorHAnsi"/>
          <w:b/>
        </w:rPr>
        <w:t>ARTÍCULO PRIMERO: CONSTITUIR</w:t>
      </w:r>
      <w:r w:rsidRPr="00DF529C">
        <w:rPr>
          <w:rFonts w:asciiTheme="minorHAnsi" w:hAnsiTheme="minorHAnsi"/>
        </w:rPr>
        <w:t xml:space="preserve"> el Equipo de Trabajo encargado del cumplimiento de la meta referida a “Realizar acciones de monitoreo al mantenimiento preventivo de los locales escolares de la jurisdicción”, del Plan de Incentivos a la Mejora de la Gestión y Modernización Municipal para el año 2014, la cual estará conformada por los siguientes miembros:</w:t>
      </w:r>
    </w:p>
    <w:p w:rsidR="00DF529C" w:rsidRPr="00DF529C" w:rsidRDefault="00DF529C" w:rsidP="00DF529C">
      <w:pPr>
        <w:widowControl w:val="0"/>
        <w:autoSpaceDE w:val="0"/>
        <w:jc w:val="both"/>
        <w:rPr>
          <w:rFonts w:asciiTheme="minorHAnsi" w:hAnsiTheme="minorHAnsi"/>
        </w:rPr>
      </w:pPr>
    </w:p>
    <w:p w:rsidR="00DF529C" w:rsidRPr="00DF529C" w:rsidRDefault="00DF529C" w:rsidP="00DF529C">
      <w:pPr>
        <w:pStyle w:val="Prrafodelista"/>
        <w:widowControl w:val="0"/>
        <w:numPr>
          <w:ilvl w:val="0"/>
          <w:numId w:val="14"/>
        </w:numPr>
        <w:autoSpaceDE w:val="0"/>
        <w:jc w:val="both"/>
        <w:rPr>
          <w:rFonts w:asciiTheme="minorHAnsi" w:hAnsiTheme="minorHAnsi"/>
        </w:rPr>
      </w:pPr>
      <w:r w:rsidRPr="00DF529C">
        <w:rPr>
          <w:rFonts w:asciiTheme="minorHAnsi" w:hAnsiTheme="minorHAnsi"/>
        </w:rPr>
        <w:t>Nombre Completo, en su calidad de (Descripción del Cargo), quien lo presidirá.</w:t>
      </w:r>
    </w:p>
    <w:p w:rsidR="00DF529C" w:rsidRPr="00DF529C" w:rsidRDefault="00DF529C" w:rsidP="00DF529C">
      <w:pPr>
        <w:pStyle w:val="Prrafodelista"/>
        <w:widowControl w:val="0"/>
        <w:numPr>
          <w:ilvl w:val="0"/>
          <w:numId w:val="14"/>
        </w:numPr>
        <w:autoSpaceDE w:val="0"/>
        <w:jc w:val="both"/>
        <w:rPr>
          <w:rFonts w:asciiTheme="minorHAnsi" w:hAnsiTheme="minorHAnsi"/>
        </w:rPr>
      </w:pPr>
      <w:r w:rsidRPr="00DF529C">
        <w:rPr>
          <w:rFonts w:asciiTheme="minorHAnsi" w:hAnsiTheme="minorHAnsi"/>
        </w:rPr>
        <w:lastRenderedPageBreak/>
        <w:t>Nombre Completo, en su calidad de (Descripción del Cargo).</w:t>
      </w:r>
    </w:p>
    <w:p w:rsidR="00DF529C" w:rsidRPr="00DF529C" w:rsidRDefault="00DF529C" w:rsidP="00DF529C">
      <w:pPr>
        <w:widowControl w:val="0"/>
        <w:autoSpaceDE w:val="0"/>
        <w:jc w:val="both"/>
        <w:rPr>
          <w:rFonts w:asciiTheme="minorHAnsi" w:hAnsiTheme="minorHAnsi"/>
        </w:rPr>
      </w:pPr>
    </w:p>
    <w:p w:rsidR="00DF529C" w:rsidRPr="00DF529C" w:rsidRDefault="00DF529C" w:rsidP="00DF529C">
      <w:pPr>
        <w:ind w:firstLine="360"/>
        <w:jc w:val="both"/>
        <w:rPr>
          <w:rFonts w:asciiTheme="minorHAnsi" w:hAnsiTheme="minorHAnsi" w:cs="Arial"/>
          <w:b/>
        </w:rPr>
      </w:pPr>
      <w:r w:rsidRPr="00DF529C">
        <w:rPr>
          <w:rFonts w:asciiTheme="minorHAnsi" w:hAnsiTheme="minorHAnsi" w:cs="Arial"/>
          <w:b/>
        </w:rPr>
        <w:t xml:space="preserve">ARTÍCULO SEGUNDO.- CONCEDER </w:t>
      </w:r>
      <w:r w:rsidRPr="00DF529C">
        <w:rPr>
          <w:rFonts w:asciiTheme="minorHAnsi" w:hAnsiTheme="minorHAnsi" w:cs="Arial"/>
        </w:rPr>
        <w:t>al Equipo de Trabajo constituido, competencia para la toma de decisiones conducentes al cumplimiento de la meta señalada del Plan de Incentivos a la Mejora de la Gestión y Modernización Municipal para el año 2014.</w:t>
      </w:r>
    </w:p>
    <w:p w:rsidR="00DF529C" w:rsidRPr="00DF529C" w:rsidRDefault="00DF529C" w:rsidP="00DF529C">
      <w:pPr>
        <w:ind w:firstLine="360"/>
        <w:jc w:val="both"/>
        <w:rPr>
          <w:rFonts w:asciiTheme="minorHAnsi" w:hAnsiTheme="minorHAnsi" w:cs="Arial"/>
          <w:b/>
        </w:rPr>
      </w:pPr>
    </w:p>
    <w:p w:rsidR="00DF529C" w:rsidRPr="00DF529C" w:rsidRDefault="00DF529C" w:rsidP="00DF529C">
      <w:pPr>
        <w:ind w:firstLine="360"/>
        <w:jc w:val="both"/>
        <w:rPr>
          <w:rFonts w:asciiTheme="minorHAnsi" w:hAnsiTheme="minorHAnsi" w:cs="Arial"/>
          <w:i/>
        </w:rPr>
      </w:pPr>
      <w:r w:rsidRPr="00DF529C">
        <w:rPr>
          <w:rFonts w:asciiTheme="minorHAnsi" w:hAnsiTheme="minorHAnsi" w:cs="Arial"/>
          <w:b/>
        </w:rPr>
        <w:t xml:space="preserve">ARTÍCULO TERCERO.- NOTIFICAR </w:t>
      </w:r>
      <w:r w:rsidRPr="00DF529C">
        <w:rPr>
          <w:rFonts w:asciiTheme="minorHAnsi" w:hAnsiTheme="minorHAnsi" w:cs="Arial"/>
        </w:rPr>
        <w:t>la presente Resolución a la Unidades Orgánicas pertinentes de la Municipalidad Provincial (o Distrital) de……..., a la Unidad de Gestión Educativa Local de la jurisdicción y a las Instituciones Educativas consideradas en el monitoreo.</w:t>
      </w:r>
    </w:p>
    <w:p w:rsidR="00DF529C" w:rsidRPr="00DF529C" w:rsidRDefault="00DF529C" w:rsidP="00DF529C">
      <w:pPr>
        <w:rPr>
          <w:rFonts w:asciiTheme="minorHAnsi" w:hAnsiTheme="minorHAnsi"/>
        </w:rPr>
      </w:pPr>
    </w:p>
    <w:p w:rsidR="00DF529C" w:rsidRPr="00DF529C" w:rsidRDefault="00DF529C" w:rsidP="00DF529C">
      <w:pPr>
        <w:jc w:val="center"/>
        <w:rPr>
          <w:rFonts w:asciiTheme="minorHAnsi" w:hAnsiTheme="minorHAnsi" w:cs="Arial"/>
        </w:rPr>
      </w:pPr>
      <w:r w:rsidRPr="00DF529C">
        <w:rPr>
          <w:rFonts w:asciiTheme="minorHAnsi" w:hAnsiTheme="minorHAnsi" w:cs="Arial"/>
        </w:rPr>
        <w:t>REGÍSTRESE, COMUNÍQUESE Y CÚMPLASE</w:t>
      </w:r>
    </w:p>
    <w:p w:rsidR="003F04CA" w:rsidRPr="00DF529C" w:rsidRDefault="003F04CA" w:rsidP="00DF529C">
      <w:pPr>
        <w:spacing w:line="200" w:lineRule="atLeast"/>
        <w:ind w:firstLine="708"/>
        <w:jc w:val="both"/>
        <w:rPr>
          <w:rFonts w:asciiTheme="minorHAnsi" w:hAnsiTheme="minorHAnsi"/>
          <w:sz w:val="22"/>
          <w:szCs w:val="22"/>
        </w:rPr>
      </w:pPr>
    </w:p>
    <w:sectPr w:rsidR="003F04CA" w:rsidRPr="00DF529C">
      <w:footerReference w:type="default" r:id="rId8"/>
      <w:footnotePr>
        <w:pos w:val="beneathText"/>
      </w:footnotePr>
      <w:pgSz w:w="11906" w:h="16838"/>
      <w:pgMar w:top="1418" w:right="1160" w:bottom="709"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68" w:rsidRDefault="00116868">
      <w:r>
        <w:separator/>
      </w:r>
    </w:p>
  </w:endnote>
  <w:endnote w:type="continuationSeparator" w:id="0">
    <w:p w:rsidR="00116868" w:rsidRDefault="0011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CA" w:rsidRDefault="003F04CA">
    <w:pPr>
      <w:pStyle w:val="Piedepgina"/>
    </w:pPr>
    <w:r>
      <w:rPr>
        <w:rStyle w:val="Nmerodepgina"/>
        <w:rFonts w:ascii="Arial" w:hAnsi="Arial"/>
        <w:b/>
        <w:sz w:val="18"/>
      </w:rPr>
      <w:t xml:space="preserve">       </w:t>
    </w:r>
  </w:p>
  <w:p w:rsidR="003F04CA" w:rsidRDefault="003F04CA">
    <w:pPr>
      <w:pStyle w:val="Piedepgina"/>
    </w:pPr>
  </w:p>
  <w:p w:rsidR="003F04CA" w:rsidRDefault="003F04CA">
    <w:pPr>
      <w:pStyle w:val="Piedepgina"/>
    </w:pPr>
  </w:p>
  <w:p w:rsidR="003F04CA" w:rsidRDefault="003F04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68" w:rsidRDefault="00116868">
      <w:r>
        <w:separator/>
      </w:r>
    </w:p>
  </w:footnote>
  <w:footnote w:type="continuationSeparator" w:id="0">
    <w:p w:rsidR="00116868" w:rsidRDefault="0011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35"/>
        </w:tabs>
        <w:ind w:left="735" w:hanging="360"/>
      </w:pPr>
      <w:rPr>
        <w:rFonts w:ascii="Symbol" w:hAnsi="Symbol" w:cs="Open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Open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Open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35"/>
        </w:tabs>
        <w:ind w:left="735" w:hanging="360"/>
      </w:pPr>
      <w:rPr>
        <w:rFonts w:ascii="Symbol" w:hAnsi="Symbol" w:cs="Open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Open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Open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35"/>
        </w:tabs>
        <w:ind w:left="735" w:hanging="360"/>
      </w:pPr>
      <w:rPr>
        <w:rFonts w:ascii="Symbol" w:hAnsi="Symbol" w:cs="Open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Open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Open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35"/>
        </w:tabs>
        <w:ind w:left="735" w:hanging="360"/>
      </w:pPr>
      <w:rPr>
        <w:rFonts w:ascii="Symbol" w:hAnsi="Symbol" w:cs="OpenSymbol"/>
      </w:rPr>
    </w:lvl>
    <w:lvl w:ilvl="1">
      <w:start w:val="1"/>
      <w:numFmt w:val="bullet"/>
      <w:lvlText w:val="◦"/>
      <w:lvlJc w:val="left"/>
      <w:pPr>
        <w:tabs>
          <w:tab w:val="num" w:pos="1095"/>
        </w:tabs>
        <w:ind w:left="1095" w:hanging="360"/>
      </w:pPr>
      <w:rPr>
        <w:rFonts w:ascii="OpenSymbol" w:hAnsi="OpenSymbol" w:cs="OpenSymbol"/>
      </w:rPr>
    </w:lvl>
    <w:lvl w:ilvl="2">
      <w:start w:val="1"/>
      <w:numFmt w:val="bullet"/>
      <w:lvlText w:val="▪"/>
      <w:lvlJc w:val="left"/>
      <w:pPr>
        <w:tabs>
          <w:tab w:val="num" w:pos="1455"/>
        </w:tabs>
        <w:ind w:left="1455" w:hanging="360"/>
      </w:pPr>
      <w:rPr>
        <w:rFonts w:ascii="OpenSymbol" w:hAnsi="OpenSymbol" w:cs="OpenSymbol"/>
      </w:rPr>
    </w:lvl>
    <w:lvl w:ilvl="3">
      <w:start w:val="1"/>
      <w:numFmt w:val="bullet"/>
      <w:lvlText w:val=""/>
      <w:lvlJc w:val="left"/>
      <w:pPr>
        <w:tabs>
          <w:tab w:val="num" w:pos="1815"/>
        </w:tabs>
        <w:ind w:left="1815" w:hanging="360"/>
      </w:pPr>
      <w:rPr>
        <w:rFonts w:ascii="Symbol" w:hAnsi="Symbol" w:cs="OpenSymbol"/>
      </w:rPr>
    </w:lvl>
    <w:lvl w:ilvl="4">
      <w:start w:val="1"/>
      <w:numFmt w:val="bullet"/>
      <w:lvlText w:val="◦"/>
      <w:lvlJc w:val="left"/>
      <w:pPr>
        <w:tabs>
          <w:tab w:val="num" w:pos="2175"/>
        </w:tabs>
        <w:ind w:left="2175" w:hanging="360"/>
      </w:pPr>
      <w:rPr>
        <w:rFonts w:ascii="OpenSymbol" w:hAnsi="OpenSymbol" w:cs="OpenSymbol"/>
      </w:rPr>
    </w:lvl>
    <w:lvl w:ilvl="5">
      <w:start w:val="1"/>
      <w:numFmt w:val="bullet"/>
      <w:lvlText w:val="▪"/>
      <w:lvlJc w:val="left"/>
      <w:pPr>
        <w:tabs>
          <w:tab w:val="num" w:pos="2535"/>
        </w:tabs>
        <w:ind w:left="2535" w:hanging="360"/>
      </w:pPr>
      <w:rPr>
        <w:rFonts w:ascii="OpenSymbol" w:hAnsi="OpenSymbol" w:cs="OpenSymbol"/>
      </w:rPr>
    </w:lvl>
    <w:lvl w:ilvl="6">
      <w:start w:val="1"/>
      <w:numFmt w:val="bullet"/>
      <w:lvlText w:val=""/>
      <w:lvlJc w:val="left"/>
      <w:pPr>
        <w:tabs>
          <w:tab w:val="num" w:pos="2895"/>
        </w:tabs>
        <w:ind w:left="2895" w:hanging="360"/>
      </w:pPr>
      <w:rPr>
        <w:rFonts w:ascii="Symbol" w:hAnsi="Symbol" w:cs="OpenSymbol"/>
      </w:rPr>
    </w:lvl>
    <w:lvl w:ilvl="7">
      <w:start w:val="1"/>
      <w:numFmt w:val="bullet"/>
      <w:lvlText w:val="◦"/>
      <w:lvlJc w:val="left"/>
      <w:pPr>
        <w:tabs>
          <w:tab w:val="num" w:pos="3255"/>
        </w:tabs>
        <w:ind w:left="3255" w:hanging="360"/>
      </w:pPr>
      <w:rPr>
        <w:rFonts w:ascii="OpenSymbol" w:hAnsi="OpenSymbol" w:cs="OpenSymbol"/>
      </w:rPr>
    </w:lvl>
    <w:lvl w:ilvl="8">
      <w:start w:val="1"/>
      <w:numFmt w:val="bullet"/>
      <w:lvlText w:val="▪"/>
      <w:lvlJc w:val="left"/>
      <w:pPr>
        <w:tabs>
          <w:tab w:val="num" w:pos="3615"/>
        </w:tabs>
        <w:ind w:left="3615" w:hanging="360"/>
      </w:pPr>
      <w:rPr>
        <w:rFonts w:ascii="OpenSymbol" w:hAnsi="OpenSymbol" w:cs="OpenSymbol"/>
      </w:rPr>
    </w:lvl>
  </w:abstractNum>
  <w:abstractNum w:abstractNumId="9">
    <w:nsid w:val="10E54A14"/>
    <w:multiLevelType w:val="hybridMultilevel"/>
    <w:tmpl w:val="29D082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89E0F69"/>
    <w:multiLevelType w:val="hybridMultilevel"/>
    <w:tmpl w:val="C832C68A"/>
    <w:lvl w:ilvl="0" w:tplc="49EA1A88">
      <w:start w:val="3"/>
      <w:numFmt w:val="bullet"/>
      <w:lvlText w:val="-"/>
      <w:lvlJc w:val="left"/>
      <w:pPr>
        <w:ind w:left="720" w:hanging="360"/>
      </w:pPr>
      <w:rPr>
        <w:rFonts w:ascii="Tw Cen MT" w:eastAsia="Times New Roman" w:hAnsi="Tw Cen MT"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EA659D"/>
    <w:multiLevelType w:val="hybridMultilevel"/>
    <w:tmpl w:val="C832C6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72014F4"/>
    <w:multiLevelType w:val="hybridMultilevel"/>
    <w:tmpl w:val="358A7E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98013F0"/>
    <w:multiLevelType w:val="hybridMultilevel"/>
    <w:tmpl w:val="296C5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E5"/>
    <w:rsid w:val="00043EBE"/>
    <w:rsid w:val="000F007A"/>
    <w:rsid w:val="00116868"/>
    <w:rsid w:val="002029B6"/>
    <w:rsid w:val="00215BEB"/>
    <w:rsid w:val="00282F85"/>
    <w:rsid w:val="002E3E06"/>
    <w:rsid w:val="0031117A"/>
    <w:rsid w:val="003700C6"/>
    <w:rsid w:val="003D0E76"/>
    <w:rsid w:val="003F04CA"/>
    <w:rsid w:val="003F4181"/>
    <w:rsid w:val="00414FB4"/>
    <w:rsid w:val="00494FAF"/>
    <w:rsid w:val="004A6506"/>
    <w:rsid w:val="0054795B"/>
    <w:rsid w:val="00687546"/>
    <w:rsid w:val="006B4466"/>
    <w:rsid w:val="00760720"/>
    <w:rsid w:val="007E7C77"/>
    <w:rsid w:val="007F53AA"/>
    <w:rsid w:val="008D6CF4"/>
    <w:rsid w:val="009B3F7B"/>
    <w:rsid w:val="00B45B55"/>
    <w:rsid w:val="00C333F2"/>
    <w:rsid w:val="00C904C4"/>
    <w:rsid w:val="00C95898"/>
    <w:rsid w:val="00D2585A"/>
    <w:rsid w:val="00DA7695"/>
    <w:rsid w:val="00DF529C"/>
    <w:rsid w:val="00E9013B"/>
    <w:rsid w:val="00EA08A7"/>
    <w:rsid w:val="00EA2DE5"/>
    <w:rsid w:val="00F2511B"/>
    <w:rsid w:val="00F61CFA"/>
    <w:rsid w:val="00F872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numPr>
        <w:numId w:val="1"/>
      </w:numPr>
      <w:outlineLvl w:val="0"/>
    </w:pPr>
    <w:rPr>
      <w:b/>
      <w:lang w:val="es-PE"/>
    </w:rPr>
  </w:style>
  <w:style w:type="paragraph" w:styleId="Ttulo2">
    <w:name w:val="heading 2"/>
    <w:basedOn w:val="Normal"/>
    <w:next w:val="Normal"/>
    <w:qFormat/>
    <w:pPr>
      <w:keepNext/>
      <w:numPr>
        <w:ilvl w:val="1"/>
        <w:numId w:val="1"/>
      </w:numPr>
      <w:spacing w:line="0" w:lineRule="atLeast"/>
      <w:outlineLvl w:val="1"/>
    </w:pPr>
    <w:rPr>
      <w:sz w:val="22"/>
      <w:u w:val="single"/>
    </w:rPr>
  </w:style>
  <w:style w:type="paragraph" w:styleId="Ttulo3">
    <w:name w:val="heading 3"/>
    <w:basedOn w:val="Normal"/>
    <w:next w:val="Normal"/>
    <w:qFormat/>
    <w:pPr>
      <w:keepNext/>
      <w:numPr>
        <w:ilvl w:val="2"/>
        <w:numId w:val="1"/>
      </w:numPr>
      <w:ind w:left="2835" w:firstLine="0"/>
      <w:outlineLvl w:val="2"/>
    </w:pPr>
    <w:rPr>
      <w:b/>
      <w:sz w:val="24"/>
      <w:lang w:val="es-ES_tradnl"/>
    </w:rPr>
  </w:style>
  <w:style w:type="paragraph" w:styleId="Ttulo4">
    <w:name w:val="heading 4"/>
    <w:basedOn w:val="Normal"/>
    <w:next w:val="Normal"/>
    <w:qFormat/>
    <w:pPr>
      <w:keepNext/>
      <w:numPr>
        <w:ilvl w:val="3"/>
        <w:numId w:val="1"/>
      </w:numPr>
      <w:jc w:val="both"/>
      <w:outlineLvl w:val="3"/>
    </w:pPr>
    <w:rPr>
      <w:b/>
      <w:sz w:val="24"/>
    </w:rPr>
  </w:style>
  <w:style w:type="paragraph" w:styleId="Ttulo5">
    <w:name w:val="heading 5"/>
    <w:basedOn w:val="Normal"/>
    <w:next w:val="Normal"/>
    <w:qFormat/>
    <w:pPr>
      <w:keepNext/>
      <w:numPr>
        <w:ilvl w:val="4"/>
        <w:numId w:val="1"/>
      </w:numPr>
      <w:spacing w:line="0" w:lineRule="atLeast"/>
      <w:outlineLvl w:val="4"/>
    </w:pPr>
    <w:rPr>
      <w:sz w:val="24"/>
    </w:rPr>
  </w:style>
  <w:style w:type="paragraph" w:styleId="Ttulo6">
    <w:name w:val="heading 6"/>
    <w:basedOn w:val="Normal"/>
    <w:next w:val="Normal"/>
    <w:qFormat/>
    <w:pPr>
      <w:keepNext/>
      <w:numPr>
        <w:ilvl w:val="5"/>
        <w:numId w:val="1"/>
      </w:numPr>
      <w:jc w:val="both"/>
      <w:outlineLvl w:val="5"/>
    </w:pPr>
    <w:rPr>
      <w:b/>
      <w:sz w:val="22"/>
      <w:lang w:val="es-ES_tradnl"/>
    </w:rPr>
  </w:style>
  <w:style w:type="paragraph" w:styleId="Ttulo7">
    <w:name w:val="heading 7"/>
    <w:basedOn w:val="Normal"/>
    <w:next w:val="Normal"/>
    <w:qFormat/>
    <w:pPr>
      <w:keepNext/>
      <w:widowControl w:val="0"/>
      <w:autoSpaceDE w:val="0"/>
      <w:spacing w:line="225" w:lineRule="exact"/>
      <w:ind w:right="20"/>
      <w:jc w:val="right"/>
      <w:outlineLvl w:val="6"/>
    </w:pPr>
    <w:rPr>
      <w:rFonts w:ascii="Verdana" w:hAnsi="Verdana" w:cs="Arial"/>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3z0">
    <w:name w:val="WW8Num3z0"/>
    <w:rPr>
      <w:rFonts w:ascii="Wingdings" w:hAnsi="Wingdings"/>
    </w:rPr>
  </w:style>
  <w:style w:type="character" w:customStyle="1" w:styleId="WW8Num8z0">
    <w:name w:val="WW8Num8z0"/>
    <w:rPr>
      <w:rFonts w:ascii="Wingdings" w:hAnsi="Wingdings"/>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0">
    <w:name w:val="WW8Num17z0"/>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Courier New"/>
    </w:rPr>
  </w:style>
  <w:style w:type="character" w:customStyle="1" w:styleId="WW8Num22z1">
    <w:name w:val="WW8Num22z1"/>
    <w:rPr>
      <w:rFonts w:ascii="Wingdings" w:hAnsi="Wingdings"/>
    </w:rPr>
  </w:style>
  <w:style w:type="character" w:customStyle="1" w:styleId="WW8Num24z1">
    <w:name w:val="WW8Num24z1"/>
    <w:rPr>
      <w:rFonts w:ascii="Symbol" w:hAnsi="Symbol"/>
    </w:rPr>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b/>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styleId="Nmerodepgina">
    <w:name w:val="page number"/>
    <w:basedOn w:val="Fuentedeprrafopredeter"/>
    <w:semiHidden/>
  </w:style>
  <w:style w:type="character" w:styleId="Textoennegrita">
    <w:name w:val="Strong"/>
    <w:qFormat/>
    <w:rPr>
      <w:b/>
      <w:bCs/>
    </w:rPr>
  </w:style>
  <w:style w:type="character" w:customStyle="1" w:styleId="Ttulo1Car">
    <w:name w:val="Título 1 Car"/>
    <w:rPr>
      <w:b/>
    </w:rPr>
  </w:style>
  <w:style w:type="character" w:customStyle="1" w:styleId="TextoindependienteCar">
    <w:name w:val="Texto independiente Car"/>
    <w:rPr>
      <w:sz w:val="24"/>
    </w:rPr>
  </w:style>
  <w:style w:type="character" w:customStyle="1" w:styleId="TtuloCar">
    <w:name w:val="Título Car"/>
    <w:rPr>
      <w:b/>
      <w:sz w:val="22"/>
      <w:lang w:val="es-ES"/>
    </w:rPr>
  </w:style>
  <w:style w:type="character" w:customStyle="1" w:styleId="Carcterdenumeracin">
    <w:name w:val="Carácter de numeración"/>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Vietas">
    <w:name w:val="Viñetas"/>
    <w:rPr>
      <w:rFonts w:ascii="OpenSymbol" w:eastAsia="OpenSymbol" w:hAnsi="OpenSymbol" w:cs="OpenSymbol"/>
    </w:rPr>
  </w:style>
  <w:style w:type="character" w:customStyle="1" w:styleId="WW8Num4z0">
    <w:name w:val="WW8Num4z0"/>
    <w:rPr>
      <w:rFonts w:ascii="Arial" w:hAnsi="Arial"/>
      <w:b w:val="0"/>
      <w:i w:val="0"/>
      <w:sz w:val="18"/>
      <w:szCs w:val="18"/>
    </w:rPr>
  </w:style>
  <w:style w:type="paragraph" w:styleId="Encabezado">
    <w:name w:val="header"/>
    <w:basedOn w:val="Normal"/>
    <w:next w:val="Textoindependiente"/>
    <w:semiHidden/>
    <w:pPr>
      <w:tabs>
        <w:tab w:val="center" w:pos="4419"/>
        <w:tab w:val="right" w:pos="8838"/>
      </w:tabs>
    </w:pPr>
  </w:style>
  <w:style w:type="paragraph" w:styleId="Textoindependiente">
    <w:name w:val="Body Text"/>
    <w:basedOn w:val="Normal"/>
    <w:semiHidden/>
    <w:pPr>
      <w:spacing w:before="120" w:after="120"/>
      <w:jc w:val="both"/>
    </w:pPr>
    <w:rPr>
      <w:sz w:val="24"/>
      <w:lang w:val="es-PE"/>
    </w:rPr>
  </w:style>
  <w:style w:type="paragraph" w:styleId="Lista">
    <w:name w:val="List"/>
    <w:basedOn w:val="Normal"/>
    <w:semiHidden/>
    <w:pPr>
      <w:ind w:left="283" w:hanging="283"/>
    </w:pPr>
    <w:rPr>
      <w:sz w:val="24"/>
      <w:lang w:val="es-ES_tradnl"/>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Piedepgina">
    <w:name w:val="footer"/>
    <w:basedOn w:val="Normal"/>
    <w:semiHidden/>
    <w:pPr>
      <w:tabs>
        <w:tab w:val="center" w:pos="4419"/>
        <w:tab w:val="right" w:pos="8838"/>
      </w:tabs>
    </w:pPr>
    <w:rPr>
      <w:sz w:val="24"/>
    </w:rPr>
  </w:style>
  <w:style w:type="paragraph" w:styleId="Saludo">
    <w:name w:val="Salutation"/>
    <w:basedOn w:val="Normal"/>
    <w:next w:val="Normal"/>
    <w:semiHidden/>
    <w:rPr>
      <w:sz w:val="24"/>
      <w:lang w:val="es-ES_tradnl"/>
    </w:rPr>
  </w:style>
  <w:style w:type="paragraph" w:styleId="Ttulo">
    <w:name w:val="Title"/>
    <w:basedOn w:val="Normal"/>
    <w:next w:val="Subttulo"/>
    <w:qFormat/>
    <w:pPr>
      <w:widowControl w:val="0"/>
      <w:autoSpaceDE w:val="0"/>
      <w:jc w:val="center"/>
    </w:pPr>
    <w:rPr>
      <w:b/>
      <w:sz w:val="22"/>
    </w:rPr>
  </w:style>
  <w:style w:type="paragraph" w:styleId="Subttulo">
    <w:name w:val="Subtitle"/>
    <w:basedOn w:val="Normal"/>
    <w:next w:val="Textoindependiente"/>
    <w:qFormat/>
    <w:pPr>
      <w:jc w:val="both"/>
    </w:pPr>
    <w:rPr>
      <w:b/>
      <w:lang w:val="es-MX"/>
    </w:rPr>
  </w:style>
  <w:style w:type="paragraph" w:customStyle="1" w:styleId="Textoindepe">
    <w:name w:val="Texto indepe"/>
    <w:pPr>
      <w:widowControl w:val="0"/>
      <w:suppressAutoHyphens/>
    </w:pPr>
    <w:rPr>
      <w:rFonts w:eastAsia="Arial"/>
      <w:sz w:val="22"/>
      <w:lang w:val="es-ES_tradnl" w:eastAsia="ar-SA"/>
    </w:rPr>
  </w:style>
  <w:style w:type="paragraph" w:styleId="Textoindependiente2">
    <w:name w:val="Body Text 2"/>
    <w:basedOn w:val="Normal"/>
    <w:semiHidden/>
    <w:pPr>
      <w:jc w:val="both"/>
    </w:pPr>
    <w:rPr>
      <w:rFonts w:ascii="Arial" w:hAnsi="Arial"/>
      <w:sz w:val="22"/>
    </w:rPr>
  </w:style>
  <w:style w:type="paragraph" w:styleId="Sangradetextonormal">
    <w:name w:val="Body Text Indent"/>
    <w:basedOn w:val="Normal"/>
    <w:semiHidden/>
    <w:pPr>
      <w:tabs>
        <w:tab w:val="left" w:pos="21549"/>
      </w:tabs>
      <w:ind w:left="3119" w:hanging="1418"/>
      <w:jc w:val="both"/>
    </w:pPr>
    <w:rPr>
      <w:b/>
      <w:sz w:val="22"/>
    </w:rPr>
  </w:style>
  <w:style w:type="paragraph" w:styleId="Sangra2detindependiente">
    <w:name w:val="Body Text Indent 2"/>
    <w:basedOn w:val="Normal"/>
    <w:semiHidden/>
    <w:pPr>
      <w:spacing w:after="120" w:line="480" w:lineRule="auto"/>
      <w:ind w:left="283"/>
    </w:pPr>
  </w:style>
  <w:style w:type="paragraph" w:styleId="Listaconvietas">
    <w:name w:val="List Bullet"/>
    <w:basedOn w:val="Normal"/>
    <w:semiHidden/>
    <w:pPr>
      <w:jc w:val="both"/>
    </w:pPr>
    <w:rPr>
      <w:rFonts w:ascii="Arial" w:hAnsi="Arial"/>
      <w:sz w:val="22"/>
      <w:szCs w:val="22"/>
    </w:rPr>
  </w:style>
  <w:style w:type="paragraph" w:styleId="Textoindependiente3">
    <w:name w:val="Body Text 3"/>
    <w:basedOn w:val="Normal"/>
    <w:semiHidden/>
    <w:pPr>
      <w:spacing w:after="120"/>
    </w:pPr>
    <w:rPr>
      <w:sz w:val="16"/>
      <w:szCs w:val="16"/>
    </w:rPr>
  </w:style>
  <w:style w:type="paragraph" w:styleId="Textodeglobo">
    <w:name w:val="Balloon Text"/>
    <w:basedOn w:val="Normal"/>
    <w:rPr>
      <w:rFonts w:ascii="Tahoma" w:hAnsi="Tahoma" w:cs="Tahoma"/>
      <w:sz w:val="16"/>
      <w:szCs w:val="16"/>
    </w:rPr>
  </w:style>
  <w:style w:type="paragraph" w:styleId="NormalWeb">
    <w:name w:val="Normal (Web)"/>
    <w:basedOn w:val="Normal"/>
    <w:semiHidden/>
    <w:pPr>
      <w:spacing w:before="100" w:after="100"/>
    </w:pPr>
    <w:rPr>
      <w:sz w:val="24"/>
      <w:szCs w:val="24"/>
      <w:lang w:val="es-PE"/>
    </w:rPr>
  </w:style>
  <w:style w:type="paragraph" w:customStyle="1" w:styleId="Contenidodelmarco">
    <w:name w:val="Contenido del marco"/>
    <w:basedOn w:val="Textoindependiente"/>
  </w:style>
  <w:style w:type="paragraph" w:styleId="Prrafodelista">
    <w:name w:val="List Paragraph"/>
    <w:basedOn w:val="Normal"/>
    <w:uiPriority w:val="34"/>
    <w:qFormat/>
    <w:rsid w:val="002E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numPr>
        <w:numId w:val="1"/>
      </w:numPr>
      <w:outlineLvl w:val="0"/>
    </w:pPr>
    <w:rPr>
      <w:b/>
      <w:lang w:val="es-PE"/>
    </w:rPr>
  </w:style>
  <w:style w:type="paragraph" w:styleId="Ttulo2">
    <w:name w:val="heading 2"/>
    <w:basedOn w:val="Normal"/>
    <w:next w:val="Normal"/>
    <w:qFormat/>
    <w:pPr>
      <w:keepNext/>
      <w:numPr>
        <w:ilvl w:val="1"/>
        <w:numId w:val="1"/>
      </w:numPr>
      <w:spacing w:line="0" w:lineRule="atLeast"/>
      <w:outlineLvl w:val="1"/>
    </w:pPr>
    <w:rPr>
      <w:sz w:val="22"/>
      <w:u w:val="single"/>
    </w:rPr>
  </w:style>
  <w:style w:type="paragraph" w:styleId="Ttulo3">
    <w:name w:val="heading 3"/>
    <w:basedOn w:val="Normal"/>
    <w:next w:val="Normal"/>
    <w:qFormat/>
    <w:pPr>
      <w:keepNext/>
      <w:numPr>
        <w:ilvl w:val="2"/>
        <w:numId w:val="1"/>
      </w:numPr>
      <w:ind w:left="2835" w:firstLine="0"/>
      <w:outlineLvl w:val="2"/>
    </w:pPr>
    <w:rPr>
      <w:b/>
      <w:sz w:val="24"/>
      <w:lang w:val="es-ES_tradnl"/>
    </w:rPr>
  </w:style>
  <w:style w:type="paragraph" w:styleId="Ttulo4">
    <w:name w:val="heading 4"/>
    <w:basedOn w:val="Normal"/>
    <w:next w:val="Normal"/>
    <w:qFormat/>
    <w:pPr>
      <w:keepNext/>
      <w:numPr>
        <w:ilvl w:val="3"/>
        <w:numId w:val="1"/>
      </w:numPr>
      <w:jc w:val="both"/>
      <w:outlineLvl w:val="3"/>
    </w:pPr>
    <w:rPr>
      <w:b/>
      <w:sz w:val="24"/>
    </w:rPr>
  </w:style>
  <w:style w:type="paragraph" w:styleId="Ttulo5">
    <w:name w:val="heading 5"/>
    <w:basedOn w:val="Normal"/>
    <w:next w:val="Normal"/>
    <w:qFormat/>
    <w:pPr>
      <w:keepNext/>
      <w:numPr>
        <w:ilvl w:val="4"/>
        <w:numId w:val="1"/>
      </w:numPr>
      <w:spacing w:line="0" w:lineRule="atLeast"/>
      <w:outlineLvl w:val="4"/>
    </w:pPr>
    <w:rPr>
      <w:sz w:val="24"/>
    </w:rPr>
  </w:style>
  <w:style w:type="paragraph" w:styleId="Ttulo6">
    <w:name w:val="heading 6"/>
    <w:basedOn w:val="Normal"/>
    <w:next w:val="Normal"/>
    <w:qFormat/>
    <w:pPr>
      <w:keepNext/>
      <w:numPr>
        <w:ilvl w:val="5"/>
        <w:numId w:val="1"/>
      </w:numPr>
      <w:jc w:val="both"/>
      <w:outlineLvl w:val="5"/>
    </w:pPr>
    <w:rPr>
      <w:b/>
      <w:sz w:val="22"/>
      <w:lang w:val="es-ES_tradnl"/>
    </w:rPr>
  </w:style>
  <w:style w:type="paragraph" w:styleId="Ttulo7">
    <w:name w:val="heading 7"/>
    <w:basedOn w:val="Normal"/>
    <w:next w:val="Normal"/>
    <w:qFormat/>
    <w:pPr>
      <w:keepNext/>
      <w:widowControl w:val="0"/>
      <w:autoSpaceDE w:val="0"/>
      <w:spacing w:line="225" w:lineRule="exact"/>
      <w:ind w:right="20"/>
      <w:jc w:val="right"/>
      <w:outlineLvl w:val="6"/>
    </w:pPr>
    <w:rPr>
      <w:rFonts w:ascii="Verdana" w:hAnsi="Verdana" w:cs="Arial"/>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3z0">
    <w:name w:val="WW8Num3z0"/>
    <w:rPr>
      <w:rFonts w:ascii="Wingdings" w:hAnsi="Wingdings"/>
    </w:rPr>
  </w:style>
  <w:style w:type="character" w:customStyle="1" w:styleId="WW8Num8z0">
    <w:name w:val="WW8Num8z0"/>
    <w:rPr>
      <w:rFonts w:ascii="Wingdings" w:hAnsi="Wingdings"/>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0">
    <w:name w:val="WW8Num17z0"/>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Courier New"/>
    </w:rPr>
  </w:style>
  <w:style w:type="character" w:customStyle="1" w:styleId="WW8Num22z1">
    <w:name w:val="WW8Num22z1"/>
    <w:rPr>
      <w:rFonts w:ascii="Wingdings" w:hAnsi="Wingdings"/>
    </w:rPr>
  </w:style>
  <w:style w:type="character" w:customStyle="1" w:styleId="WW8Num24z1">
    <w:name w:val="WW8Num24z1"/>
    <w:rPr>
      <w:rFonts w:ascii="Symbol" w:hAnsi="Symbol"/>
    </w:rPr>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b/>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styleId="Nmerodepgina">
    <w:name w:val="page number"/>
    <w:basedOn w:val="Fuentedeprrafopredeter"/>
    <w:semiHidden/>
  </w:style>
  <w:style w:type="character" w:styleId="Textoennegrita">
    <w:name w:val="Strong"/>
    <w:qFormat/>
    <w:rPr>
      <w:b/>
      <w:bCs/>
    </w:rPr>
  </w:style>
  <w:style w:type="character" w:customStyle="1" w:styleId="Ttulo1Car">
    <w:name w:val="Título 1 Car"/>
    <w:rPr>
      <w:b/>
    </w:rPr>
  </w:style>
  <w:style w:type="character" w:customStyle="1" w:styleId="TextoindependienteCar">
    <w:name w:val="Texto independiente Car"/>
    <w:rPr>
      <w:sz w:val="24"/>
    </w:rPr>
  </w:style>
  <w:style w:type="character" w:customStyle="1" w:styleId="TtuloCar">
    <w:name w:val="Título Car"/>
    <w:rPr>
      <w:b/>
      <w:sz w:val="22"/>
      <w:lang w:val="es-ES"/>
    </w:rPr>
  </w:style>
  <w:style w:type="character" w:customStyle="1" w:styleId="Carcterdenumeracin">
    <w:name w:val="Carácter de numeración"/>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Vietas">
    <w:name w:val="Viñetas"/>
    <w:rPr>
      <w:rFonts w:ascii="OpenSymbol" w:eastAsia="OpenSymbol" w:hAnsi="OpenSymbol" w:cs="OpenSymbol"/>
    </w:rPr>
  </w:style>
  <w:style w:type="character" w:customStyle="1" w:styleId="WW8Num4z0">
    <w:name w:val="WW8Num4z0"/>
    <w:rPr>
      <w:rFonts w:ascii="Arial" w:hAnsi="Arial"/>
      <w:b w:val="0"/>
      <w:i w:val="0"/>
      <w:sz w:val="18"/>
      <w:szCs w:val="18"/>
    </w:rPr>
  </w:style>
  <w:style w:type="paragraph" w:styleId="Encabezado">
    <w:name w:val="header"/>
    <w:basedOn w:val="Normal"/>
    <w:next w:val="Textoindependiente"/>
    <w:semiHidden/>
    <w:pPr>
      <w:tabs>
        <w:tab w:val="center" w:pos="4419"/>
        <w:tab w:val="right" w:pos="8838"/>
      </w:tabs>
    </w:pPr>
  </w:style>
  <w:style w:type="paragraph" w:styleId="Textoindependiente">
    <w:name w:val="Body Text"/>
    <w:basedOn w:val="Normal"/>
    <w:semiHidden/>
    <w:pPr>
      <w:spacing w:before="120" w:after="120"/>
      <w:jc w:val="both"/>
    </w:pPr>
    <w:rPr>
      <w:sz w:val="24"/>
      <w:lang w:val="es-PE"/>
    </w:rPr>
  </w:style>
  <w:style w:type="paragraph" w:styleId="Lista">
    <w:name w:val="List"/>
    <w:basedOn w:val="Normal"/>
    <w:semiHidden/>
    <w:pPr>
      <w:ind w:left="283" w:hanging="283"/>
    </w:pPr>
    <w:rPr>
      <w:sz w:val="24"/>
      <w:lang w:val="es-ES_tradnl"/>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Piedepgina">
    <w:name w:val="footer"/>
    <w:basedOn w:val="Normal"/>
    <w:semiHidden/>
    <w:pPr>
      <w:tabs>
        <w:tab w:val="center" w:pos="4419"/>
        <w:tab w:val="right" w:pos="8838"/>
      </w:tabs>
    </w:pPr>
    <w:rPr>
      <w:sz w:val="24"/>
    </w:rPr>
  </w:style>
  <w:style w:type="paragraph" w:styleId="Saludo">
    <w:name w:val="Salutation"/>
    <w:basedOn w:val="Normal"/>
    <w:next w:val="Normal"/>
    <w:semiHidden/>
    <w:rPr>
      <w:sz w:val="24"/>
      <w:lang w:val="es-ES_tradnl"/>
    </w:rPr>
  </w:style>
  <w:style w:type="paragraph" w:styleId="Ttulo">
    <w:name w:val="Title"/>
    <w:basedOn w:val="Normal"/>
    <w:next w:val="Subttulo"/>
    <w:qFormat/>
    <w:pPr>
      <w:widowControl w:val="0"/>
      <w:autoSpaceDE w:val="0"/>
      <w:jc w:val="center"/>
    </w:pPr>
    <w:rPr>
      <w:b/>
      <w:sz w:val="22"/>
    </w:rPr>
  </w:style>
  <w:style w:type="paragraph" w:styleId="Subttulo">
    <w:name w:val="Subtitle"/>
    <w:basedOn w:val="Normal"/>
    <w:next w:val="Textoindependiente"/>
    <w:qFormat/>
    <w:pPr>
      <w:jc w:val="both"/>
    </w:pPr>
    <w:rPr>
      <w:b/>
      <w:lang w:val="es-MX"/>
    </w:rPr>
  </w:style>
  <w:style w:type="paragraph" w:customStyle="1" w:styleId="Textoindepe">
    <w:name w:val="Texto indepe"/>
    <w:pPr>
      <w:widowControl w:val="0"/>
      <w:suppressAutoHyphens/>
    </w:pPr>
    <w:rPr>
      <w:rFonts w:eastAsia="Arial"/>
      <w:sz w:val="22"/>
      <w:lang w:val="es-ES_tradnl" w:eastAsia="ar-SA"/>
    </w:rPr>
  </w:style>
  <w:style w:type="paragraph" w:styleId="Textoindependiente2">
    <w:name w:val="Body Text 2"/>
    <w:basedOn w:val="Normal"/>
    <w:semiHidden/>
    <w:pPr>
      <w:jc w:val="both"/>
    </w:pPr>
    <w:rPr>
      <w:rFonts w:ascii="Arial" w:hAnsi="Arial"/>
      <w:sz w:val="22"/>
    </w:rPr>
  </w:style>
  <w:style w:type="paragraph" w:styleId="Sangradetextonormal">
    <w:name w:val="Body Text Indent"/>
    <w:basedOn w:val="Normal"/>
    <w:semiHidden/>
    <w:pPr>
      <w:tabs>
        <w:tab w:val="left" w:pos="21549"/>
      </w:tabs>
      <w:ind w:left="3119" w:hanging="1418"/>
      <w:jc w:val="both"/>
    </w:pPr>
    <w:rPr>
      <w:b/>
      <w:sz w:val="22"/>
    </w:rPr>
  </w:style>
  <w:style w:type="paragraph" w:styleId="Sangra2detindependiente">
    <w:name w:val="Body Text Indent 2"/>
    <w:basedOn w:val="Normal"/>
    <w:semiHidden/>
    <w:pPr>
      <w:spacing w:after="120" w:line="480" w:lineRule="auto"/>
      <w:ind w:left="283"/>
    </w:pPr>
  </w:style>
  <w:style w:type="paragraph" w:styleId="Listaconvietas">
    <w:name w:val="List Bullet"/>
    <w:basedOn w:val="Normal"/>
    <w:semiHidden/>
    <w:pPr>
      <w:jc w:val="both"/>
    </w:pPr>
    <w:rPr>
      <w:rFonts w:ascii="Arial" w:hAnsi="Arial"/>
      <w:sz w:val="22"/>
      <w:szCs w:val="22"/>
    </w:rPr>
  </w:style>
  <w:style w:type="paragraph" w:styleId="Textoindependiente3">
    <w:name w:val="Body Text 3"/>
    <w:basedOn w:val="Normal"/>
    <w:semiHidden/>
    <w:pPr>
      <w:spacing w:after="120"/>
    </w:pPr>
    <w:rPr>
      <w:sz w:val="16"/>
      <w:szCs w:val="16"/>
    </w:rPr>
  </w:style>
  <w:style w:type="paragraph" w:styleId="Textodeglobo">
    <w:name w:val="Balloon Text"/>
    <w:basedOn w:val="Normal"/>
    <w:rPr>
      <w:rFonts w:ascii="Tahoma" w:hAnsi="Tahoma" w:cs="Tahoma"/>
      <w:sz w:val="16"/>
      <w:szCs w:val="16"/>
    </w:rPr>
  </w:style>
  <w:style w:type="paragraph" w:styleId="NormalWeb">
    <w:name w:val="Normal (Web)"/>
    <w:basedOn w:val="Normal"/>
    <w:semiHidden/>
    <w:pPr>
      <w:spacing w:before="100" w:after="100"/>
    </w:pPr>
    <w:rPr>
      <w:sz w:val="24"/>
      <w:szCs w:val="24"/>
      <w:lang w:val="es-PE"/>
    </w:rPr>
  </w:style>
  <w:style w:type="paragraph" w:customStyle="1" w:styleId="Contenidodelmarco">
    <w:name w:val="Contenido del marco"/>
    <w:basedOn w:val="Textoindependiente"/>
  </w:style>
  <w:style w:type="paragraph" w:styleId="Prrafodelista">
    <w:name w:val="List Paragraph"/>
    <w:basedOn w:val="Normal"/>
    <w:uiPriority w:val="34"/>
    <w:qFormat/>
    <w:rsid w:val="002E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San Juan de Lurigancho, 08 de Noviembre del 2005</vt:lpstr>
    </vt:vector>
  </TitlesOfParts>
  <Company>Hewlett-Packard Company</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Juan de Lurigancho, 08 de Noviembre del 2005</dc:title>
  <dc:creator>M.S.J.L.</dc:creator>
  <cp:lastModifiedBy>MARTIN MARCA SANJINEZ</cp:lastModifiedBy>
  <cp:revision>6</cp:revision>
  <cp:lastPrinted>2013-04-05T15:25:00Z</cp:lastPrinted>
  <dcterms:created xsi:type="dcterms:W3CDTF">2014-02-10T15:12:00Z</dcterms:created>
  <dcterms:modified xsi:type="dcterms:W3CDTF">2014-02-27T20:46:00Z</dcterms:modified>
</cp:coreProperties>
</file>