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42CE81B2" w14:textId="7F7148EE" w:rsidR="00E56A0A" w:rsidRPr="00E56A0A"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CB462D">
        <w:rPr>
          <w:rFonts w:asciiTheme="majorHAnsi" w:hAnsiTheme="majorHAnsi" w:cstheme="minorHAnsi"/>
          <w:b/>
          <w:sz w:val="32"/>
          <w:szCs w:val="32"/>
          <w:lang w:val="es-PE"/>
        </w:rPr>
        <w:t>EQUIPOS DIVERSOS</w:t>
      </w:r>
      <w:r w:rsidR="002D777B" w:rsidRPr="002D777B">
        <w:rPr>
          <w:rFonts w:asciiTheme="majorHAnsi" w:hAnsiTheme="majorHAnsi" w:cstheme="minorHAnsi"/>
          <w:b/>
          <w:sz w:val="32"/>
          <w:szCs w:val="32"/>
          <w:lang w:val="es-PE"/>
        </w:rPr>
        <w:t xml:space="preserve">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CONSTRUCCIÓN CIVIL”</w:t>
      </w:r>
      <w:r w:rsidR="00CB462D">
        <w:rPr>
          <w:rFonts w:asciiTheme="majorHAnsi" w:hAnsiTheme="majorHAnsi" w:cstheme="minorHAnsi"/>
          <w:b/>
          <w:sz w:val="32"/>
          <w:szCs w:val="32"/>
          <w:lang w:val="es-PE"/>
        </w:rPr>
        <w:t xml:space="preserve"> </w:t>
      </w:r>
      <w:r w:rsidRPr="006E6107">
        <w:rPr>
          <w:rFonts w:asciiTheme="majorHAnsi" w:hAnsiTheme="majorHAnsi" w:cstheme="minorHAnsi"/>
          <w:b/>
          <w:sz w:val="32"/>
          <w:szCs w:val="32"/>
          <w:lang w:val="es-PE"/>
        </w:rPr>
        <w:t>(FC N° 05)</w:t>
      </w:r>
      <w:r w:rsidR="00CB462D">
        <w:rPr>
          <w:rFonts w:asciiTheme="majorHAnsi" w:hAnsiTheme="majorHAnsi" w:cstheme="minorHAnsi"/>
          <w:b/>
          <w:sz w:val="32"/>
          <w:szCs w:val="32"/>
          <w:lang w:val="es-PE"/>
        </w:rPr>
        <w:t xml:space="preserve"> – ZONA SUR</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26EE7485"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884354">
        <w:rPr>
          <w:rFonts w:asciiTheme="majorHAnsi" w:hAnsiTheme="majorHAnsi" w:cstheme="minorHAnsi"/>
          <w:b/>
          <w:sz w:val="32"/>
          <w:szCs w:val="32"/>
          <w:lang w:val="es-PE"/>
        </w:rPr>
        <w:t xml:space="preserve"> 023</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0E6A1E8A"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BE02AC">
        <w:rPr>
          <w:rFonts w:asciiTheme="majorHAnsi" w:hAnsiTheme="majorHAnsi" w:cstheme="minorHAnsi"/>
          <w:b/>
          <w:bCs/>
          <w:sz w:val="32"/>
          <w:szCs w:val="32"/>
          <w:lang w:val="es-PE"/>
        </w:rPr>
        <w:t>1279</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12395D26" w:rsidR="002A69D2" w:rsidRPr="00914855" w:rsidRDefault="00CB462D"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24FFF7A3"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884354">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391D45DC"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CB462D">
        <w:rPr>
          <w:rFonts w:asciiTheme="majorHAnsi" w:hAnsiTheme="majorHAnsi" w:cstheme="minorHAnsi"/>
          <w:b/>
          <w:bCs/>
          <w:i/>
          <w:color w:val="0000FF"/>
        </w:rPr>
        <w:t xml:space="preserve">equipos diversos </w:t>
      </w:r>
      <w:r w:rsidR="002D777B">
        <w:rPr>
          <w:rFonts w:asciiTheme="majorHAnsi" w:hAnsiTheme="majorHAnsi" w:cstheme="minorHAnsi"/>
          <w:b/>
          <w:bCs/>
          <w:i/>
          <w:color w:val="0000FF"/>
        </w:rPr>
        <w:t>del Programa de Construcción Civil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bookmarkEnd w:id="0"/>
      <w:r w:rsidR="00CB462D">
        <w:rPr>
          <w:rFonts w:ascii="Cambria" w:hAnsi="Cambria"/>
          <w:b/>
          <w:i/>
          <w:color w:val="0000FF"/>
          <w:sz w:val="22"/>
          <w:szCs w:val="22"/>
        </w:rPr>
        <w:t xml:space="preserve"> – Zona Sur</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36F317C7"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CB462D">
        <w:rPr>
          <w:rFonts w:asciiTheme="majorHAnsi" w:hAnsiTheme="majorHAnsi" w:cstheme="minorHAnsi"/>
          <w:b/>
          <w:bCs/>
        </w:rPr>
        <w:t>Equipos diversos</w:t>
      </w:r>
      <w:r w:rsidR="007F76B8" w:rsidRPr="00AD51FA">
        <w:rPr>
          <w:rFonts w:asciiTheme="majorHAnsi" w:hAnsiTheme="majorHAnsi" w:cstheme="minorHAnsi"/>
          <w:b/>
          <w:bCs/>
        </w:rPr>
        <w:t xml:space="preserve"> </w:t>
      </w:r>
      <w:r w:rsidR="002D777B">
        <w:rPr>
          <w:rFonts w:asciiTheme="majorHAnsi" w:hAnsiTheme="majorHAnsi" w:cstheme="minorHAnsi"/>
          <w:b/>
          <w:bCs/>
        </w:rPr>
        <w:t>especializado del Programa de Construcción Civil</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74909A38" w:rsidR="00BD3CCB" w:rsidRPr="00990599" w:rsidRDefault="00BD3CCB" w:rsidP="00884354">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884354">
              <w:rPr>
                <w:rFonts w:asciiTheme="majorHAnsi" w:hAnsiTheme="majorHAnsi" w:cstheme="minorHAnsi"/>
                <w:b/>
                <w:color w:val="000000"/>
              </w:rPr>
              <w:t>023</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0D341F8D" w:rsidR="00BD3CCB" w:rsidRPr="00990599" w:rsidRDefault="007F76B8" w:rsidP="00CB462D">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CB462D">
              <w:rPr>
                <w:rFonts w:asciiTheme="majorHAnsi" w:hAnsiTheme="majorHAnsi" w:cstheme="minorHAnsi"/>
                <w:b/>
                <w:bCs/>
              </w:rPr>
              <w:t>equipos diversos</w:t>
            </w:r>
            <w:r w:rsidR="002D777B" w:rsidRPr="00AD51FA">
              <w:rPr>
                <w:rFonts w:asciiTheme="majorHAnsi" w:hAnsiTheme="majorHAnsi" w:cstheme="minorHAnsi"/>
                <w:b/>
                <w:bCs/>
              </w:rPr>
              <w:t xml:space="preserve"> </w:t>
            </w:r>
            <w:r w:rsidR="002D777B">
              <w:rPr>
                <w:rFonts w:asciiTheme="majorHAnsi" w:hAnsiTheme="majorHAnsi" w:cstheme="minorHAnsi"/>
                <w:b/>
                <w:bCs/>
              </w:rPr>
              <w:t>del Programa de Construcción Civil (FC 05-2020</w:t>
            </w:r>
            <w:r w:rsidR="002D777B" w:rsidRPr="00AD51FA">
              <w:rPr>
                <w:rFonts w:asciiTheme="majorHAnsi" w:hAnsiTheme="majorHAnsi" w:cstheme="minorHAnsi"/>
                <w:b/>
                <w:bCs/>
              </w:rPr>
              <w:t>)</w:t>
            </w:r>
            <w:r w:rsidR="00CB462D">
              <w:rPr>
                <w:rFonts w:asciiTheme="majorHAnsi" w:hAnsiTheme="majorHAnsi" w:cstheme="minorHAnsi"/>
                <w:b/>
                <w:bCs/>
              </w:rPr>
              <w:t xml:space="preserve"> – Zona Sur”</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F42CB4"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132C224" w:rsidR="001A05BD" w:rsidRPr="000448AC" w:rsidRDefault="00553498" w:rsidP="007F039E">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7F039E">
              <w:rPr>
                <w:rFonts w:asciiTheme="majorHAnsi" w:hAnsiTheme="majorHAnsi" w:cstheme="minorHAnsi"/>
                <w:b/>
                <w:bCs/>
                <w:szCs w:val="24"/>
                <w:lang w:val="es-PE"/>
              </w:rPr>
              <w:t>22</w:t>
            </w:r>
            <w:r w:rsidR="00BE15C1" w:rsidRPr="004342D8">
              <w:rPr>
                <w:rFonts w:asciiTheme="majorHAnsi" w:hAnsiTheme="majorHAnsi" w:cstheme="minorHAnsi"/>
                <w:b/>
                <w:bCs/>
                <w:szCs w:val="24"/>
                <w:lang w:val="es-PE"/>
              </w:rPr>
              <w:t xml:space="preserve"> de </w:t>
            </w:r>
            <w:r w:rsidR="007F039E">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7F7FFB71" w:rsidR="003E3F08" w:rsidRPr="009F6018" w:rsidRDefault="00BE15C1" w:rsidP="007F039E">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7F039E">
              <w:rPr>
                <w:rFonts w:asciiTheme="majorHAnsi" w:hAnsiTheme="majorHAnsi" w:cstheme="minorHAnsi"/>
                <w:b/>
                <w:bCs/>
                <w:szCs w:val="24"/>
                <w:lang w:val="es-PE"/>
              </w:rPr>
              <w:t>25</w:t>
            </w:r>
            <w:r w:rsidRPr="004342D8">
              <w:rPr>
                <w:rFonts w:asciiTheme="majorHAnsi" w:hAnsiTheme="majorHAnsi" w:cstheme="minorHAnsi"/>
                <w:b/>
                <w:bCs/>
                <w:szCs w:val="24"/>
                <w:lang w:val="es-PE"/>
              </w:rPr>
              <w:t xml:space="preserve"> de </w:t>
            </w:r>
            <w:r w:rsidR="007F039E">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10FA1534"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7F039E">
              <w:rPr>
                <w:rFonts w:asciiTheme="majorHAnsi" w:hAnsiTheme="majorHAnsi" w:cstheme="minorHAnsi"/>
                <w:b/>
                <w:bCs/>
                <w:szCs w:val="24"/>
                <w:lang w:val="es-PE"/>
              </w:rPr>
              <w:t>01</w:t>
            </w:r>
            <w:r w:rsidRPr="004342D8">
              <w:rPr>
                <w:rFonts w:asciiTheme="majorHAnsi" w:hAnsiTheme="majorHAnsi" w:cstheme="minorHAnsi"/>
                <w:b/>
                <w:bCs/>
                <w:szCs w:val="24"/>
                <w:lang w:val="es-PE"/>
              </w:rPr>
              <w:t xml:space="preserve"> de </w:t>
            </w:r>
            <w:r w:rsidR="007F039E">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F42CB4">
              <w:rPr>
                <w:rFonts w:asciiTheme="majorHAnsi" w:hAnsiTheme="majorHAnsi" w:cstheme="minorHAnsi"/>
                <w:b/>
                <w:lang w:val="es-PE"/>
              </w:rPr>
              <w:t>23</w:t>
            </w:r>
            <w:r w:rsidR="007F039E" w:rsidRPr="007F039E">
              <w:rPr>
                <w:rFonts w:asciiTheme="majorHAnsi" w:hAnsiTheme="majorHAnsi" w:cstheme="minorHAnsi"/>
                <w:b/>
                <w:lang w:val="es-PE"/>
              </w:rPr>
              <w:t>:</w:t>
            </w:r>
            <w:r w:rsidR="00F42CB4">
              <w:rPr>
                <w:rFonts w:asciiTheme="majorHAnsi" w:hAnsiTheme="majorHAnsi" w:cstheme="minorHAnsi"/>
                <w:b/>
                <w:lang w:val="es-PE"/>
              </w:rPr>
              <w:t>59</w:t>
            </w:r>
            <w:bookmarkStart w:id="5" w:name="_GoBack"/>
            <w:bookmarkEnd w:id="5"/>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51B0E9BA" w14:textId="77777777"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00404F52"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04 de setiembre a las 10:00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52183D1B"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1F3FBD">
        <w:rPr>
          <w:rFonts w:asciiTheme="majorHAnsi" w:hAnsiTheme="majorHAnsi" w:cstheme="minorHAnsi"/>
          <w:b/>
          <w:bCs/>
          <w:color w:val="0000FF"/>
        </w:rPr>
        <w:t>23</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23AB12AE"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002D777B" w:rsidRPr="002D777B">
        <w:rPr>
          <w:rFonts w:asciiTheme="majorHAnsi" w:hAnsiTheme="majorHAnsi" w:cstheme="minorHAnsi"/>
          <w:b/>
          <w:bCs/>
          <w:color w:val="0000FF"/>
        </w:rPr>
        <w:t xml:space="preserve"> del Programa de Construcción Civil </w:t>
      </w:r>
    </w:p>
    <w:p w14:paraId="30734E06" w14:textId="4A0BFDA2"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r w:rsidR="00CB462D">
        <w:rPr>
          <w:rFonts w:asciiTheme="majorHAnsi" w:hAnsiTheme="majorHAnsi" w:cstheme="minorHAnsi"/>
          <w:b/>
          <w:bCs/>
          <w:color w:val="0000FF"/>
        </w:rPr>
        <w:t xml:space="preserve"> – Zona Sur</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lastRenderedPageBreak/>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w:t>
      </w:r>
      <w:r w:rsidR="00EB441F" w:rsidRPr="00022802">
        <w:rPr>
          <w:rFonts w:asciiTheme="majorHAnsi" w:hAnsiTheme="majorHAnsi" w:cstheme="minorHAnsi"/>
          <w:lang w:val="es-PE"/>
        </w:rPr>
        <w:lastRenderedPageBreak/>
        <w:t xml:space="preserve">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9115EB" w:rsidRPr="00DE4CC5" w14:paraId="5089E0A3" w14:textId="77777777" w:rsidTr="00CA3C12">
        <w:trPr>
          <w:trHeight w:val="300"/>
        </w:trPr>
        <w:tc>
          <w:tcPr>
            <w:tcW w:w="873" w:type="dxa"/>
            <w:vMerge w:val="restart"/>
            <w:shd w:val="clear" w:color="auto" w:fill="auto"/>
            <w:vAlign w:val="center"/>
          </w:tcPr>
          <w:p w14:paraId="367C476B" w14:textId="2AD270C8" w:rsidR="009115EB" w:rsidRPr="00CA3C12" w:rsidRDefault="009115EB" w:rsidP="002D777B">
            <w:pPr>
              <w:jc w:val="center"/>
              <w:rPr>
                <w:rFonts w:asciiTheme="majorHAnsi" w:eastAsia="Times New Roman" w:hAnsiTheme="majorHAnsi" w:cs="Calibri"/>
                <w:bCs/>
                <w:lang w:val="es-PE" w:eastAsia="es-PE"/>
              </w:rPr>
            </w:pPr>
            <w:r w:rsidRPr="00CA3C12">
              <w:rPr>
                <w:rFonts w:asciiTheme="majorHAnsi" w:eastAsia="Times New Roman" w:hAnsiTheme="majorHAnsi" w:cs="Calibri"/>
                <w:bCs/>
                <w:lang w:val="es-PE" w:eastAsia="es-PE"/>
              </w:rPr>
              <w:t>1</w:t>
            </w:r>
          </w:p>
        </w:tc>
        <w:tc>
          <w:tcPr>
            <w:tcW w:w="3543" w:type="dxa"/>
            <w:shd w:val="clear" w:color="auto" w:fill="auto"/>
            <w:vAlign w:val="center"/>
          </w:tcPr>
          <w:p w14:paraId="58CCB2A7" w14:textId="0542FDEE" w:rsidR="009115EB" w:rsidRPr="008C5F16" w:rsidRDefault="009115EB" w:rsidP="008C5F16">
            <w:pPr>
              <w:jc w:val="both"/>
              <w:rPr>
                <w:rFonts w:asciiTheme="majorHAnsi" w:eastAsia="Times New Roman" w:hAnsiTheme="majorHAnsi" w:cs="Calibri"/>
                <w:sz w:val="18"/>
                <w:szCs w:val="18"/>
                <w:lang w:val="es-PE" w:eastAsia="es-PE"/>
              </w:rPr>
            </w:pPr>
            <w:r w:rsidRPr="008C5F16">
              <w:rPr>
                <w:rFonts w:ascii="Calibri" w:hAnsi="Calibri" w:cs="Calibri"/>
                <w:sz w:val="18"/>
                <w:szCs w:val="18"/>
              </w:rPr>
              <w:t>Balanza de precisión centesimal</w:t>
            </w:r>
          </w:p>
        </w:tc>
        <w:tc>
          <w:tcPr>
            <w:tcW w:w="1134" w:type="dxa"/>
            <w:shd w:val="clear" w:color="auto" w:fill="auto"/>
            <w:noWrap/>
            <w:vAlign w:val="center"/>
          </w:tcPr>
          <w:p w14:paraId="3FEEA841" w14:textId="61A9DCEB" w:rsidR="009115EB" w:rsidRPr="00CA3C12" w:rsidRDefault="009115EB" w:rsidP="002D777B">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5B0B4D4A" w14:textId="7EB08B70" w:rsidR="009115EB" w:rsidRPr="00CA3C12" w:rsidRDefault="009115EB" w:rsidP="002D777B">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9115EB" w:rsidRPr="00DE4CC5" w14:paraId="6AC73EE3" w14:textId="77777777" w:rsidTr="00CA3C12">
        <w:trPr>
          <w:trHeight w:val="300"/>
        </w:trPr>
        <w:tc>
          <w:tcPr>
            <w:tcW w:w="873" w:type="dxa"/>
            <w:vMerge/>
            <w:shd w:val="clear" w:color="auto" w:fill="auto"/>
            <w:vAlign w:val="center"/>
          </w:tcPr>
          <w:p w14:paraId="547BAE52" w14:textId="59402E2C" w:rsidR="009115EB" w:rsidRPr="00CA3C12" w:rsidRDefault="009115EB" w:rsidP="002D777B">
            <w:pPr>
              <w:jc w:val="center"/>
              <w:rPr>
                <w:rFonts w:asciiTheme="majorHAnsi" w:eastAsia="Times New Roman" w:hAnsiTheme="majorHAnsi" w:cs="Calibri"/>
                <w:bCs/>
                <w:lang w:val="es-PE" w:eastAsia="es-PE"/>
              </w:rPr>
            </w:pPr>
          </w:p>
        </w:tc>
        <w:tc>
          <w:tcPr>
            <w:tcW w:w="3543" w:type="dxa"/>
            <w:shd w:val="clear" w:color="auto" w:fill="auto"/>
            <w:vAlign w:val="center"/>
          </w:tcPr>
          <w:p w14:paraId="27DB6937" w14:textId="761451F3" w:rsidR="009115EB" w:rsidRPr="008C5F16" w:rsidRDefault="009115EB" w:rsidP="008C5F16">
            <w:pPr>
              <w:jc w:val="both"/>
              <w:rPr>
                <w:rFonts w:asciiTheme="majorHAnsi" w:eastAsia="Times New Roman" w:hAnsiTheme="majorHAnsi" w:cs="Calibri"/>
                <w:sz w:val="18"/>
                <w:szCs w:val="18"/>
                <w:lang w:val="es-PE" w:eastAsia="es-PE"/>
              </w:rPr>
            </w:pPr>
            <w:r w:rsidRPr="008C5F16">
              <w:rPr>
                <w:rFonts w:ascii="Calibri" w:hAnsi="Calibri" w:cs="Calibri"/>
                <w:sz w:val="18"/>
                <w:szCs w:val="18"/>
              </w:rPr>
              <w:t>Balanza de precisión decimal</w:t>
            </w:r>
          </w:p>
        </w:tc>
        <w:tc>
          <w:tcPr>
            <w:tcW w:w="1134" w:type="dxa"/>
            <w:shd w:val="clear" w:color="auto" w:fill="auto"/>
            <w:noWrap/>
            <w:vAlign w:val="center"/>
          </w:tcPr>
          <w:p w14:paraId="27602C43" w14:textId="4C8D1CD4" w:rsidR="009115EB" w:rsidRPr="00CA3C12" w:rsidRDefault="009115EB" w:rsidP="002D777B">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4738EF9F" w14:textId="656B41E2" w:rsidR="009115EB" w:rsidRPr="00CA3C12" w:rsidRDefault="009115EB" w:rsidP="002D777B">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9115EB" w:rsidRPr="00DE4CC5" w14:paraId="248D3118" w14:textId="77777777" w:rsidTr="00CA3C12">
        <w:trPr>
          <w:trHeight w:val="300"/>
        </w:trPr>
        <w:tc>
          <w:tcPr>
            <w:tcW w:w="873" w:type="dxa"/>
            <w:vMerge/>
            <w:shd w:val="clear" w:color="auto" w:fill="auto"/>
            <w:vAlign w:val="center"/>
          </w:tcPr>
          <w:p w14:paraId="78C48798" w14:textId="08E0C755" w:rsidR="009115EB" w:rsidRPr="00CA3C12" w:rsidRDefault="009115EB" w:rsidP="00CA3C12">
            <w:pPr>
              <w:jc w:val="center"/>
              <w:rPr>
                <w:rFonts w:asciiTheme="majorHAnsi" w:eastAsia="Times New Roman" w:hAnsiTheme="majorHAnsi" w:cs="Calibri"/>
                <w:bCs/>
                <w:lang w:val="es-PE" w:eastAsia="es-PE"/>
              </w:rPr>
            </w:pPr>
          </w:p>
        </w:tc>
        <w:tc>
          <w:tcPr>
            <w:tcW w:w="3543" w:type="dxa"/>
            <w:shd w:val="clear" w:color="auto" w:fill="auto"/>
            <w:vAlign w:val="center"/>
          </w:tcPr>
          <w:p w14:paraId="2692B93F" w14:textId="0498C3DA" w:rsidR="009115EB" w:rsidRPr="008C5F16" w:rsidRDefault="009115EB" w:rsidP="008C5F16">
            <w:pPr>
              <w:jc w:val="both"/>
              <w:rPr>
                <w:rFonts w:asciiTheme="majorHAnsi" w:eastAsia="Times New Roman" w:hAnsiTheme="majorHAnsi" w:cs="Calibri"/>
                <w:sz w:val="18"/>
                <w:szCs w:val="18"/>
                <w:lang w:val="es-PE" w:eastAsia="es-PE"/>
              </w:rPr>
            </w:pPr>
            <w:r w:rsidRPr="008C5F16">
              <w:rPr>
                <w:rFonts w:ascii="Calibri" w:hAnsi="Calibri" w:cs="Calibri"/>
                <w:sz w:val="18"/>
                <w:szCs w:val="18"/>
              </w:rPr>
              <w:t>Horno de ventilación forzada</w:t>
            </w:r>
          </w:p>
        </w:tc>
        <w:tc>
          <w:tcPr>
            <w:tcW w:w="1134" w:type="dxa"/>
            <w:shd w:val="clear" w:color="auto" w:fill="auto"/>
            <w:noWrap/>
            <w:vAlign w:val="center"/>
          </w:tcPr>
          <w:p w14:paraId="65D9766F" w14:textId="5C97DBB6" w:rsidR="009115EB" w:rsidRPr="00CA3C12" w:rsidRDefault="009115EB" w:rsidP="00CA3C12">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4</w:t>
            </w:r>
          </w:p>
        </w:tc>
        <w:tc>
          <w:tcPr>
            <w:tcW w:w="1701" w:type="dxa"/>
            <w:vAlign w:val="center"/>
          </w:tcPr>
          <w:p w14:paraId="2CFDF49F" w14:textId="6AFF8DD0" w:rsidR="009115EB" w:rsidRPr="00CA3C12" w:rsidRDefault="009115EB" w:rsidP="00CA3C12">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CA3C12" w:rsidRPr="00DE4CC5" w14:paraId="0B88D9E8" w14:textId="77777777" w:rsidTr="00CA3C12">
        <w:trPr>
          <w:trHeight w:val="300"/>
        </w:trPr>
        <w:tc>
          <w:tcPr>
            <w:tcW w:w="873" w:type="dxa"/>
            <w:shd w:val="clear" w:color="auto" w:fill="auto"/>
            <w:vAlign w:val="center"/>
          </w:tcPr>
          <w:p w14:paraId="6EAC735E" w14:textId="12DBD0D5" w:rsidR="00CA3C12" w:rsidRPr="00CA3C12" w:rsidRDefault="009115EB" w:rsidP="00CA3C12">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543" w:type="dxa"/>
            <w:shd w:val="clear" w:color="auto" w:fill="auto"/>
            <w:vAlign w:val="center"/>
          </w:tcPr>
          <w:p w14:paraId="68D2C299" w14:textId="22F7A6E6" w:rsidR="00CA3C12" w:rsidRPr="00884354" w:rsidRDefault="00884354" w:rsidP="008C5F16">
            <w:pPr>
              <w:jc w:val="both"/>
              <w:rPr>
                <w:rFonts w:ascii="Calibri" w:hAnsi="Calibri" w:cs="Calibri"/>
                <w:sz w:val="18"/>
                <w:szCs w:val="18"/>
              </w:rPr>
            </w:pPr>
            <w:r w:rsidRPr="008C5F16">
              <w:rPr>
                <w:rFonts w:ascii="Calibri" w:hAnsi="Calibri" w:cs="Calibri"/>
                <w:sz w:val="18"/>
                <w:szCs w:val="18"/>
              </w:rPr>
              <w:t>Máquina de corte directo residual sistematizado</w:t>
            </w:r>
          </w:p>
        </w:tc>
        <w:tc>
          <w:tcPr>
            <w:tcW w:w="1134" w:type="dxa"/>
            <w:shd w:val="clear" w:color="auto" w:fill="auto"/>
            <w:noWrap/>
            <w:vAlign w:val="center"/>
          </w:tcPr>
          <w:p w14:paraId="788065AF" w14:textId="0A997600" w:rsidR="00CA3C12" w:rsidRPr="00CA3C12" w:rsidRDefault="00884354" w:rsidP="00CA3C12">
            <w:pPr>
              <w:jc w:val="center"/>
              <w:rPr>
                <w:rFonts w:asciiTheme="majorHAnsi" w:eastAsia="Times New Roman" w:hAnsiTheme="majorHAnsi" w:cs="Calibri"/>
                <w:sz w:val="18"/>
                <w:szCs w:val="18"/>
                <w:lang w:val="es-PE" w:eastAsia="es-PE"/>
              </w:rPr>
            </w:pPr>
            <w:r>
              <w:rPr>
                <w:rFonts w:ascii="Calibri" w:hAnsi="Calibri" w:cs="Calibri"/>
                <w:sz w:val="18"/>
                <w:szCs w:val="18"/>
              </w:rPr>
              <w:t>2</w:t>
            </w:r>
          </w:p>
        </w:tc>
        <w:tc>
          <w:tcPr>
            <w:tcW w:w="1701" w:type="dxa"/>
            <w:vAlign w:val="center"/>
          </w:tcPr>
          <w:p w14:paraId="70C9DF4F" w14:textId="2536289C" w:rsidR="00CA3C12" w:rsidRPr="00CA3C12" w:rsidRDefault="00CA3C12" w:rsidP="00CA3C12">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8C5F16" w:rsidRPr="00DE4CC5" w14:paraId="38F70C0E" w14:textId="77777777" w:rsidTr="00CA3C12">
        <w:trPr>
          <w:trHeight w:val="300"/>
        </w:trPr>
        <w:tc>
          <w:tcPr>
            <w:tcW w:w="873" w:type="dxa"/>
            <w:shd w:val="clear" w:color="auto" w:fill="auto"/>
            <w:vAlign w:val="center"/>
          </w:tcPr>
          <w:p w14:paraId="503672B2" w14:textId="606ABFD3" w:rsidR="008C5F16" w:rsidRPr="00CA3C12" w:rsidRDefault="009115EB" w:rsidP="008C5F16">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3</w:t>
            </w:r>
          </w:p>
        </w:tc>
        <w:tc>
          <w:tcPr>
            <w:tcW w:w="3543" w:type="dxa"/>
            <w:shd w:val="clear" w:color="auto" w:fill="auto"/>
            <w:vAlign w:val="center"/>
          </w:tcPr>
          <w:p w14:paraId="53DB046F" w14:textId="5CE7C333" w:rsidR="00884354" w:rsidRPr="008C5F16" w:rsidRDefault="00884354" w:rsidP="008C5F16">
            <w:pPr>
              <w:jc w:val="both"/>
              <w:rPr>
                <w:rFonts w:ascii="Calibri" w:hAnsi="Calibri" w:cs="Calibri"/>
                <w:sz w:val="18"/>
                <w:szCs w:val="18"/>
              </w:rPr>
            </w:pPr>
            <w:r w:rsidRPr="008C5F16">
              <w:rPr>
                <w:rFonts w:ascii="Calibri" w:hAnsi="Calibri" w:cs="Calibri"/>
                <w:sz w:val="18"/>
                <w:szCs w:val="18"/>
              </w:rPr>
              <w:t>Prensa digital para ensayos de concreto (prensa de compresión hidráulica)</w:t>
            </w:r>
          </w:p>
        </w:tc>
        <w:tc>
          <w:tcPr>
            <w:tcW w:w="1134" w:type="dxa"/>
            <w:shd w:val="clear" w:color="auto" w:fill="auto"/>
            <w:noWrap/>
            <w:vAlign w:val="center"/>
          </w:tcPr>
          <w:p w14:paraId="1445F423" w14:textId="7899761F" w:rsidR="008C5F16" w:rsidRPr="00CA3C12" w:rsidRDefault="00884354" w:rsidP="008C5F16">
            <w:pPr>
              <w:jc w:val="center"/>
              <w:rPr>
                <w:rFonts w:ascii="Calibri" w:hAnsi="Calibri" w:cs="Calibri"/>
                <w:sz w:val="18"/>
                <w:szCs w:val="18"/>
              </w:rPr>
            </w:pPr>
            <w:r>
              <w:rPr>
                <w:rFonts w:ascii="Calibri" w:hAnsi="Calibri" w:cs="Calibri"/>
                <w:sz w:val="18"/>
                <w:szCs w:val="18"/>
              </w:rPr>
              <w:t>4</w:t>
            </w:r>
          </w:p>
        </w:tc>
        <w:tc>
          <w:tcPr>
            <w:tcW w:w="1701" w:type="dxa"/>
            <w:vAlign w:val="center"/>
          </w:tcPr>
          <w:p w14:paraId="5AB3A613" w14:textId="4D7C1C5C" w:rsidR="008C5F16" w:rsidRPr="00CA3C12" w:rsidRDefault="008C5F16" w:rsidP="008C5F16">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9115EB" w:rsidRPr="00DE4CC5" w14:paraId="3E11E71C" w14:textId="77777777" w:rsidTr="00CA3C12">
        <w:trPr>
          <w:trHeight w:val="300"/>
        </w:trPr>
        <w:tc>
          <w:tcPr>
            <w:tcW w:w="873" w:type="dxa"/>
            <w:vMerge w:val="restart"/>
            <w:shd w:val="clear" w:color="auto" w:fill="auto"/>
            <w:vAlign w:val="center"/>
          </w:tcPr>
          <w:p w14:paraId="16E4E327" w14:textId="11CA8B17" w:rsidR="009115EB" w:rsidRPr="00884354" w:rsidRDefault="00884354" w:rsidP="008C5F16">
            <w:pPr>
              <w:jc w:val="center"/>
              <w:rPr>
                <w:rFonts w:asciiTheme="majorHAnsi" w:eastAsia="Times New Roman" w:hAnsiTheme="majorHAnsi" w:cs="Calibri"/>
                <w:bCs/>
                <w:lang w:val="es-PE" w:eastAsia="es-PE"/>
              </w:rPr>
            </w:pPr>
            <w:r w:rsidRPr="00884354">
              <w:rPr>
                <w:rFonts w:asciiTheme="majorHAnsi" w:eastAsia="Times New Roman" w:hAnsiTheme="majorHAnsi" w:cs="Calibri"/>
                <w:bCs/>
                <w:lang w:val="es-PE" w:eastAsia="es-PE"/>
              </w:rPr>
              <w:t>4</w:t>
            </w:r>
          </w:p>
        </w:tc>
        <w:tc>
          <w:tcPr>
            <w:tcW w:w="3543" w:type="dxa"/>
            <w:shd w:val="clear" w:color="auto" w:fill="auto"/>
            <w:vAlign w:val="center"/>
          </w:tcPr>
          <w:p w14:paraId="65EB04F7" w14:textId="659DB81D" w:rsidR="009115EB" w:rsidRPr="008C5F16" w:rsidRDefault="009115EB" w:rsidP="008C5F16">
            <w:pPr>
              <w:jc w:val="both"/>
              <w:rPr>
                <w:rFonts w:ascii="Calibri" w:hAnsi="Calibri" w:cs="Calibri"/>
                <w:sz w:val="18"/>
                <w:szCs w:val="18"/>
              </w:rPr>
            </w:pPr>
            <w:r w:rsidRPr="008C5F16">
              <w:rPr>
                <w:rFonts w:ascii="Calibri" w:hAnsi="Calibri" w:cs="Calibri"/>
                <w:sz w:val="18"/>
                <w:szCs w:val="18"/>
              </w:rPr>
              <w:t>Receptor GNSS Navegador (GPS navegador Rover)</w:t>
            </w:r>
          </w:p>
        </w:tc>
        <w:tc>
          <w:tcPr>
            <w:tcW w:w="1134" w:type="dxa"/>
            <w:shd w:val="clear" w:color="auto" w:fill="auto"/>
            <w:noWrap/>
            <w:vAlign w:val="center"/>
          </w:tcPr>
          <w:p w14:paraId="042A619C" w14:textId="6EAD14A3" w:rsidR="009115EB" w:rsidRPr="00CA3C12" w:rsidRDefault="009115EB" w:rsidP="008C5F16">
            <w:pPr>
              <w:jc w:val="center"/>
              <w:rPr>
                <w:rFonts w:ascii="Calibri" w:hAnsi="Calibri" w:cs="Calibri"/>
                <w:sz w:val="18"/>
                <w:szCs w:val="18"/>
              </w:rPr>
            </w:pPr>
            <w:r w:rsidRPr="00CA3C12">
              <w:rPr>
                <w:rFonts w:ascii="Calibri" w:hAnsi="Calibri" w:cs="Calibri"/>
                <w:sz w:val="18"/>
                <w:szCs w:val="18"/>
              </w:rPr>
              <w:t>1</w:t>
            </w:r>
          </w:p>
        </w:tc>
        <w:tc>
          <w:tcPr>
            <w:tcW w:w="1701" w:type="dxa"/>
            <w:vAlign w:val="center"/>
          </w:tcPr>
          <w:p w14:paraId="68EF4408" w14:textId="00FDA4D5" w:rsidR="009115EB" w:rsidRPr="00CA3C12" w:rsidRDefault="009115EB" w:rsidP="008C5F16">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9115EB" w:rsidRPr="00DE4CC5" w14:paraId="12F5F898" w14:textId="77777777" w:rsidTr="00CA3C12">
        <w:trPr>
          <w:trHeight w:val="300"/>
        </w:trPr>
        <w:tc>
          <w:tcPr>
            <w:tcW w:w="873" w:type="dxa"/>
            <w:vMerge/>
            <w:shd w:val="clear" w:color="auto" w:fill="auto"/>
            <w:vAlign w:val="center"/>
          </w:tcPr>
          <w:p w14:paraId="7AFB41DD" w14:textId="77777777" w:rsidR="009115EB" w:rsidRPr="00DE4CC5" w:rsidRDefault="009115EB" w:rsidP="008C5F16">
            <w:pPr>
              <w:jc w:val="center"/>
              <w:rPr>
                <w:rFonts w:asciiTheme="majorHAnsi" w:eastAsia="Times New Roman" w:hAnsiTheme="majorHAnsi" w:cs="Calibri"/>
                <w:b/>
                <w:bCs/>
                <w:lang w:val="es-PE" w:eastAsia="es-PE"/>
              </w:rPr>
            </w:pPr>
          </w:p>
        </w:tc>
        <w:tc>
          <w:tcPr>
            <w:tcW w:w="3543" w:type="dxa"/>
            <w:shd w:val="clear" w:color="auto" w:fill="auto"/>
            <w:vAlign w:val="center"/>
          </w:tcPr>
          <w:p w14:paraId="141AC7EE" w14:textId="692FDE6E" w:rsidR="009115EB" w:rsidRPr="008C5F16" w:rsidRDefault="009115EB" w:rsidP="008C5F16">
            <w:pPr>
              <w:jc w:val="both"/>
              <w:rPr>
                <w:rFonts w:asciiTheme="majorHAnsi" w:eastAsia="Times New Roman" w:hAnsiTheme="majorHAnsi" w:cs="Calibri"/>
                <w:sz w:val="18"/>
                <w:szCs w:val="18"/>
                <w:lang w:val="es-PE" w:eastAsia="es-PE"/>
              </w:rPr>
            </w:pPr>
            <w:r w:rsidRPr="008C5F16">
              <w:rPr>
                <w:rFonts w:ascii="Calibri" w:hAnsi="Calibri" w:cs="Calibri"/>
                <w:sz w:val="18"/>
                <w:szCs w:val="18"/>
              </w:rPr>
              <w:t>Nivel electrónico</w:t>
            </w:r>
          </w:p>
        </w:tc>
        <w:tc>
          <w:tcPr>
            <w:tcW w:w="1134" w:type="dxa"/>
            <w:shd w:val="clear" w:color="auto" w:fill="auto"/>
            <w:noWrap/>
            <w:vAlign w:val="center"/>
          </w:tcPr>
          <w:p w14:paraId="6274A6B0" w14:textId="6C75090F" w:rsidR="009115EB" w:rsidRPr="00CA3C12" w:rsidRDefault="009115EB" w:rsidP="008C5F16">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w:t>
            </w:r>
          </w:p>
        </w:tc>
        <w:tc>
          <w:tcPr>
            <w:tcW w:w="1701" w:type="dxa"/>
            <w:vAlign w:val="center"/>
          </w:tcPr>
          <w:p w14:paraId="302B94BE" w14:textId="60E98241" w:rsidR="009115EB" w:rsidRPr="00CA3C12" w:rsidRDefault="009115EB" w:rsidP="008C5F16">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9115EB" w:rsidRPr="00DE4CC5" w14:paraId="308BA498" w14:textId="77777777" w:rsidTr="00CA3C12">
        <w:trPr>
          <w:trHeight w:val="300"/>
        </w:trPr>
        <w:tc>
          <w:tcPr>
            <w:tcW w:w="873" w:type="dxa"/>
            <w:vMerge/>
            <w:shd w:val="clear" w:color="auto" w:fill="auto"/>
            <w:vAlign w:val="center"/>
          </w:tcPr>
          <w:p w14:paraId="682D2140" w14:textId="77777777" w:rsidR="009115EB" w:rsidRPr="00DE4CC5" w:rsidRDefault="009115EB" w:rsidP="008C5F16">
            <w:pPr>
              <w:jc w:val="center"/>
              <w:rPr>
                <w:rFonts w:asciiTheme="majorHAnsi" w:eastAsia="Times New Roman" w:hAnsiTheme="majorHAnsi" w:cs="Calibri"/>
                <w:b/>
                <w:bCs/>
                <w:lang w:val="es-PE" w:eastAsia="es-PE"/>
              </w:rPr>
            </w:pPr>
          </w:p>
        </w:tc>
        <w:tc>
          <w:tcPr>
            <w:tcW w:w="3543" w:type="dxa"/>
            <w:shd w:val="clear" w:color="auto" w:fill="auto"/>
            <w:vAlign w:val="center"/>
          </w:tcPr>
          <w:p w14:paraId="266171FD" w14:textId="7936D08D" w:rsidR="009115EB" w:rsidRPr="008C5F16" w:rsidRDefault="009115EB" w:rsidP="008C5F16">
            <w:pPr>
              <w:jc w:val="both"/>
              <w:rPr>
                <w:rFonts w:asciiTheme="majorHAnsi" w:eastAsia="Times New Roman" w:hAnsiTheme="majorHAnsi" w:cs="Calibri"/>
                <w:sz w:val="18"/>
                <w:szCs w:val="18"/>
                <w:lang w:val="es-PE" w:eastAsia="es-PE"/>
              </w:rPr>
            </w:pPr>
            <w:r w:rsidRPr="008C5F16">
              <w:rPr>
                <w:rFonts w:ascii="Calibri" w:hAnsi="Calibri" w:cs="Calibri"/>
                <w:sz w:val="18"/>
                <w:szCs w:val="18"/>
              </w:rPr>
              <w:t>Nivel laser</w:t>
            </w:r>
          </w:p>
        </w:tc>
        <w:tc>
          <w:tcPr>
            <w:tcW w:w="1134" w:type="dxa"/>
            <w:shd w:val="clear" w:color="auto" w:fill="auto"/>
            <w:noWrap/>
            <w:vAlign w:val="center"/>
          </w:tcPr>
          <w:p w14:paraId="035EB34E" w14:textId="46EBA25D" w:rsidR="009115EB" w:rsidRPr="00CA3C12" w:rsidRDefault="009115EB" w:rsidP="008C5F16">
            <w:pPr>
              <w:jc w:val="center"/>
              <w:rPr>
                <w:rFonts w:asciiTheme="majorHAnsi" w:eastAsia="Times New Roman" w:hAnsiTheme="majorHAnsi" w:cs="Calibri"/>
                <w:sz w:val="18"/>
                <w:szCs w:val="18"/>
                <w:lang w:val="es-PE" w:eastAsia="es-PE"/>
              </w:rPr>
            </w:pPr>
            <w:r w:rsidRPr="00CA3C12">
              <w:rPr>
                <w:rFonts w:ascii="Calibri" w:hAnsi="Calibri" w:cs="Calibri"/>
                <w:sz w:val="18"/>
                <w:szCs w:val="18"/>
              </w:rPr>
              <w:t>12</w:t>
            </w:r>
          </w:p>
        </w:tc>
        <w:tc>
          <w:tcPr>
            <w:tcW w:w="1701" w:type="dxa"/>
            <w:vAlign w:val="center"/>
          </w:tcPr>
          <w:p w14:paraId="63117A3F" w14:textId="58C0AE6A" w:rsidR="009115EB" w:rsidRPr="00CA3C12" w:rsidRDefault="009115EB" w:rsidP="008C5F16">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AA03F41"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48AC2F99"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00D44AC3" w:rsidRPr="00D44AC3">
        <w:rPr>
          <w:rFonts w:asciiTheme="majorHAnsi" w:hAnsiTheme="majorHAnsi" w:cstheme="minorHAnsi"/>
          <w:b/>
          <w:bCs/>
          <w:color w:val="0000FF"/>
        </w:rPr>
        <w:t xml:space="preserve"> del Programa de Construcción Civil</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CB462D">
        <w:rPr>
          <w:rFonts w:asciiTheme="majorHAnsi" w:hAnsiTheme="majorHAnsi" w:cstheme="minorHAnsi"/>
          <w:b/>
          <w:bCs/>
          <w:color w:val="0000FF"/>
        </w:rPr>
        <w:t xml:space="preserve"> – Zona Sur</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6FC1B779"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70383047"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CB462D">
        <w:rPr>
          <w:rFonts w:asciiTheme="majorHAnsi" w:hAnsiTheme="majorHAnsi" w:cstheme="minorHAnsi"/>
          <w:b/>
          <w:bCs/>
          <w:color w:val="0000FF"/>
        </w:rPr>
        <w:t>equipos diversos</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del programa de construcción civil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r w:rsidR="00CB462D">
        <w:rPr>
          <w:rFonts w:asciiTheme="majorHAnsi" w:hAnsiTheme="majorHAnsi" w:cstheme="minorHAnsi"/>
          <w:b/>
          <w:bCs/>
          <w:color w:val="0000FF"/>
        </w:rPr>
        <w:t>- Zona Sur</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6B53A2CE"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CB462D">
        <w:rPr>
          <w:rFonts w:asciiTheme="majorHAnsi" w:hAnsiTheme="majorHAnsi" w:cstheme="minorHAnsi"/>
          <w:b/>
          <w:bCs/>
          <w:color w:val="0000FF"/>
        </w:rPr>
        <w:t>equipos diversos</w:t>
      </w:r>
      <w:r w:rsidR="003E6C0C">
        <w:rPr>
          <w:rFonts w:asciiTheme="majorHAnsi" w:hAnsiTheme="majorHAnsi" w:cstheme="minorHAnsi"/>
          <w:b/>
          <w:bCs/>
          <w:color w:val="0000FF"/>
        </w:rPr>
        <w:t xml:space="preserve"> del programa de construcción civil (FC 05-2020)</w:t>
      </w:r>
      <w:r w:rsidR="00CF39D6" w:rsidRPr="0066320B">
        <w:rPr>
          <w:rFonts w:asciiTheme="majorHAnsi" w:hAnsiTheme="majorHAnsi" w:cstheme="minorHAnsi"/>
          <w:b/>
          <w:bCs/>
          <w:color w:val="0000FF"/>
        </w:rPr>
        <w:t>”</w:t>
      </w:r>
      <w:r w:rsidR="00CB462D">
        <w:rPr>
          <w:rFonts w:asciiTheme="majorHAnsi" w:hAnsiTheme="majorHAnsi" w:cstheme="minorHAnsi"/>
          <w:b/>
          <w:bCs/>
          <w:color w:val="0000FF"/>
        </w:rPr>
        <w:t xml:space="preserve"> – Zona Sur,</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a</w:t>
      </w:r>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lastRenderedPageBreak/>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5C40F214"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3CBEE2BB"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rograma de Construcción Civil (FC 05-2020)”</w:t>
      </w:r>
      <w:r w:rsidR="00CB462D">
        <w:rPr>
          <w:rFonts w:asciiTheme="majorHAnsi" w:hAnsiTheme="majorHAnsi" w:cstheme="minorHAnsi"/>
          <w:b/>
          <w:bCs/>
          <w:color w:val="0000FF"/>
        </w:rPr>
        <w:t xml:space="preserve"> – Zona Sur</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3A127016"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603580AC"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Construcción Civil (FC 05-2020)”</w:t>
      </w:r>
      <w:r w:rsidR="00CB462D">
        <w:rPr>
          <w:rFonts w:asciiTheme="majorHAnsi" w:hAnsiTheme="majorHAnsi" w:cstheme="minorHAnsi"/>
          <w:b/>
          <w:bCs/>
          <w:color w:val="0000FF"/>
        </w:rPr>
        <w:t xml:space="preserve"> – Zona Sur.</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16E0CA06"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0A496A8B"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Construcción Civil (FC 05-2020)”</w:t>
      </w:r>
      <w:r w:rsidR="00CB462D">
        <w:rPr>
          <w:rFonts w:asciiTheme="majorHAnsi" w:hAnsiTheme="majorHAnsi" w:cstheme="minorHAnsi"/>
          <w:b/>
          <w:bCs/>
          <w:color w:val="0000FF"/>
        </w:rPr>
        <w:t xml:space="preserve"> – Zona Sur</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18640B90"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1F3FBD">
        <w:rPr>
          <w:rFonts w:asciiTheme="majorHAnsi" w:hAnsiTheme="majorHAnsi" w:cstheme="minorHAnsi"/>
          <w:b/>
          <w:bCs/>
          <w:lang w:val="es-PE"/>
        </w:rPr>
        <w:t>23</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37AFA529"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Construcción Civil (FC 05-2020)”</w:t>
      </w:r>
      <w:r w:rsidR="00CB462D">
        <w:rPr>
          <w:rFonts w:asciiTheme="majorHAnsi" w:hAnsiTheme="majorHAnsi" w:cstheme="minorHAnsi"/>
          <w:b/>
          <w:bCs/>
          <w:color w:val="0000FF"/>
        </w:rPr>
        <w:t xml:space="preserve"> – Zona Sur</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48721B6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1F3FBD">
        <w:rPr>
          <w:rFonts w:asciiTheme="majorHAnsi" w:hAnsiTheme="majorHAnsi" w:cstheme="minorHAnsi"/>
          <w:b/>
          <w:bCs/>
          <w:lang w:val="es-PE"/>
        </w:rPr>
        <w:t>23</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7F0EE186"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Construcción Civil (FC 05-2020)</w:t>
      </w:r>
      <w:r w:rsidR="006E57B9">
        <w:rPr>
          <w:rFonts w:asciiTheme="majorHAnsi" w:hAnsiTheme="majorHAnsi" w:cstheme="minorHAnsi"/>
          <w:b/>
          <w:bCs/>
          <w:color w:val="0000FF"/>
        </w:rPr>
        <w:t xml:space="preserve"> – Zona Sur</w:t>
      </w:r>
      <w:r w:rsidR="00336DE7">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79834ED5"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1F3FBD">
        <w:rPr>
          <w:rFonts w:asciiTheme="majorHAnsi" w:hAnsiTheme="majorHAnsi" w:cstheme="minorHAnsi"/>
          <w:b/>
          <w:bCs/>
          <w:lang w:val="es-PE"/>
        </w:rPr>
        <w:t>23</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260CF43"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w:t>
      </w:r>
      <w:r w:rsidR="006E57B9">
        <w:rPr>
          <w:rFonts w:asciiTheme="majorHAnsi" w:hAnsiTheme="majorHAnsi" w:cstheme="minorHAnsi"/>
          <w:b/>
          <w:bCs/>
          <w:color w:val="0000FF"/>
        </w:rPr>
        <w:t>Construcción Civil (FC 05-2020) – Zona Sur”</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3071FDF6"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1F3FBD">
        <w:rPr>
          <w:rFonts w:asciiTheme="majorHAnsi" w:hAnsiTheme="majorHAnsi" w:cstheme="minorHAnsi"/>
          <w:b/>
          <w:bCs/>
          <w:lang w:val="es-PE"/>
        </w:rPr>
        <w:t>23</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04915136"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B462D">
        <w:rPr>
          <w:rFonts w:asciiTheme="majorHAnsi" w:hAnsiTheme="majorHAnsi" w:cstheme="minorHAnsi"/>
          <w:b/>
          <w:bCs/>
          <w:color w:val="0000FF"/>
        </w:rPr>
        <w:t>equipos diversos</w:t>
      </w:r>
      <w:r w:rsidRPr="00D44AC3">
        <w:rPr>
          <w:rFonts w:asciiTheme="majorHAnsi" w:hAnsiTheme="majorHAnsi" w:cstheme="minorHAnsi"/>
          <w:b/>
          <w:bCs/>
          <w:color w:val="0000FF"/>
        </w:rPr>
        <w:t xml:space="preserve"> del Programa de Construcción Civil (FC 05-2020)</w:t>
      </w:r>
      <w:r w:rsidR="006E57B9">
        <w:rPr>
          <w:rFonts w:asciiTheme="majorHAnsi" w:hAnsiTheme="majorHAnsi" w:cstheme="minorHAnsi"/>
          <w:b/>
          <w:bCs/>
          <w:color w:val="0000FF"/>
        </w:rPr>
        <w:t xml:space="preserve"> – Zona Sur</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4C5D11C0"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CB462D">
        <w:rPr>
          <w:rFonts w:asciiTheme="majorHAnsi" w:hAnsiTheme="majorHAnsi" w:cstheme="minorHAnsi"/>
          <w:b/>
          <w:bCs/>
          <w:color w:val="0000FF"/>
        </w:rPr>
        <w:t>equipos diversos</w:t>
      </w:r>
      <w:r w:rsidR="00817DB4">
        <w:rPr>
          <w:rFonts w:asciiTheme="majorHAnsi" w:hAnsiTheme="majorHAnsi" w:cstheme="minorHAnsi"/>
          <w:b/>
          <w:bCs/>
          <w:color w:val="0000FF"/>
        </w:rPr>
        <w:t xml:space="preserve"> del programa de Construcción Civil </w:t>
      </w:r>
      <w:r w:rsidR="0041448B">
        <w:rPr>
          <w:rFonts w:asciiTheme="majorHAnsi" w:hAnsiTheme="majorHAnsi" w:cstheme="minorHAnsi"/>
          <w:b/>
          <w:bCs/>
          <w:color w:val="0000FF"/>
        </w:rPr>
        <w:t>(FC 05-2020)</w:t>
      </w:r>
      <w:r w:rsidR="00C75BC9">
        <w:rPr>
          <w:rFonts w:asciiTheme="majorHAnsi" w:hAnsiTheme="majorHAnsi" w:cstheme="minorHAnsi"/>
          <w:b/>
          <w:bCs/>
          <w:color w:val="0000FF"/>
        </w:rPr>
        <w:t xml:space="preserve"> – Zona Sur</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BF1449">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BF1449">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0380CBBE"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CB462D">
        <w:rPr>
          <w:rFonts w:asciiTheme="majorHAnsi" w:hAnsiTheme="majorHAnsi" w:cstheme="minorHAnsi"/>
          <w:b/>
          <w:bCs/>
          <w:color w:val="0000FF"/>
        </w:rPr>
        <w:t>equipos diversos</w:t>
      </w:r>
      <w:r w:rsidR="00817DB4">
        <w:rPr>
          <w:rFonts w:asciiTheme="majorHAnsi" w:hAnsiTheme="majorHAnsi" w:cstheme="minorHAnsi"/>
          <w:b/>
          <w:bCs/>
          <w:color w:val="0000FF"/>
        </w:rPr>
        <w:t xml:space="preserve"> del </w:t>
      </w:r>
      <w:r w:rsidR="00C75BC9">
        <w:rPr>
          <w:rFonts w:asciiTheme="majorHAnsi" w:hAnsiTheme="majorHAnsi" w:cstheme="minorHAnsi"/>
          <w:b/>
          <w:bCs/>
          <w:color w:val="0000FF"/>
        </w:rPr>
        <w:t>P</w:t>
      </w:r>
      <w:r w:rsidR="00817DB4">
        <w:rPr>
          <w:rFonts w:asciiTheme="majorHAnsi" w:hAnsiTheme="majorHAnsi" w:cstheme="minorHAnsi"/>
          <w:b/>
          <w:bCs/>
          <w:color w:val="0000FF"/>
        </w:rPr>
        <w:t xml:space="preserve">rograma de Construcción Civil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revisión …...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fecha ……..</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0C57F28C"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3E7264">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586C1E">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42CB4">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0EA65CAA" w:rsidR="00D44AC3" w:rsidRDefault="00D44AC3" w:rsidP="005B3A25">
    <w:pPr>
      <w:pStyle w:val="Encabezado"/>
      <w:jc w:val="right"/>
    </w:pPr>
    <w:r>
      <w:rPr>
        <w:rFonts w:asciiTheme="minorHAnsi" w:hAnsiTheme="minorHAnsi" w:cstheme="minorHAnsi"/>
        <w:b/>
        <w:sz w:val="16"/>
        <w:szCs w:val="16"/>
        <w:lang w:val="es-PE"/>
      </w:rPr>
      <w:t>COMPARACION DE PRECIOS N°0</w:t>
    </w:r>
    <w:r w:rsidR="00C923DF">
      <w:rPr>
        <w:rFonts w:asciiTheme="minorHAnsi" w:hAnsiTheme="minorHAnsi" w:cstheme="minorHAnsi"/>
        <w:b/>
        <w:sz w:val="16"/>
        <w:szCs w:val="16"/>
        <w:lang w:val="es-PE"/>
      </w:rPr>
      <w:t>23</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3FBD"/>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D6465"/>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39E"/>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3DF"/>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9977E141-F51F-4471-8730-3B614C5F11ED}">
  <ds:schemaRefs>
    <ds:schemaRef ds:uri="http://schemas.microsoft.com/office/infopath/2007/PartnerControls"/>
    <ds:schemaRef ds:uri="http://purl.org/dc/terms/"/>
    <ds:schemaRef ds:uri="5e0e1a3d-92f5-4f1a-acb5-5d320d072d09"/>
    <ds:schemaRef ds:uri="http://schemas.openxmlformats.org/package/2006/metadata/core-properties"/>
    <ds:schemaRef ds:uri="http://www.w3.org/XML/1998/namespace"/>
    <ds:schemaRef ds:uri="http://schemas.microsoft.com/office/2006/documentManagement/types"/>
    <ds:schemaRef ds:uri="http://purl.org/dc/dcmitype/"/>
    <ds:schemaRef ds:uri="6027894a-ef8d-467d-890e-5c442535e41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47C80-CB3E-48C9-94B2-E816BFDE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123</TotalTime>
  <Pages>40</Pages>
  <Words>13490</Words>
  <Characters>74199</Characters>
  <Application>Microsoft Office Word</Application>
  <DocSecurity>0</DocSecurity>
  <Lines>618</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33</cp:revision>
  <cp:lastPrinted>2023-08-18T19:23:00Z</cp:lastPrinted>
  <dcterms:created xsi:type="dcterms:W3CDTF">2023-06-27T20:25:00Z</dcterms:created>
  <dcterms:modified xsi:type="dcterms:W3CDTF">2023-08-18T19:31:00Z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