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7F0AD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AVISO </w:t>
      </w:r>
      <w:r w:rsidR="00FB6A12">
        <w:rPr>
          <w:rFonts w:asciiTheme="minorHAnsi" w:hAnsiTheme="minorHAnsi" w:cstheme="minorHAnsi"/>
          <w:b/>
          <w:sz w:val="18"/>
          <w:szCs w:val="18"/>
          <w:u w:val="single"/>
        </w:rPr>
        <w:t>COMPARACIÓN DE PRECIOS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EE7930" w:rsidRDefault="00EE7930" w:rsidP="00EE7930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>
        <w:rPr>
          <w:rFonts w:asciiTheme="minorHAnsi" w:hAnsiTheme="minorHAnsi" w:cstheme="minorHAnsi"/>
          <w:sz w:val="17"/>
          <w:szCs w:val="17"/>
        </w:rPr>
        <w:t xml:space="preserve">a través 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del PMESUT se propone utilizar parte de los fondos del financiamiento para </w:t>
      </w:r>
      <w:r w:rsidR="00A5395B">
        <w:rPr>
          <w:rFonts w:asciiTheme="minorHAnsi" w:hAnsiTheme="minorHAnsi" w:cstheme="minorHAnsi"/>
          <w:sz w:val="17"/>
          <w:szCs w:val="17"/>
        </w:rPr>
        <w:t xml:space="preserve">adquirir bienes para el equipamiento especializado de seis (6) programas de estudios,  en </w:t>
      </w:r>
      <w:r w:rsidR="00A5395B" w:rsidRPr="00A5395B">
        <w:rPr>
          <w:rFonts w:asciiTheme="minorHAnsi" w:hAnsiTheme="minorHAnsi" w:cstheme="minorHAnsi"/>
          <w:sz w:val="17"/>
          <w:szCs w:val="17"/>
        </w:rPr>
        <w:t>el marco de la convocatoria del Fondo Concursable N° 14 “Mejores condiciones académicas en IEST/IES públicas</w:t>
      </w:r>
      <w:r w:rsidR="00DE34B2">
        <w:rPr>
          <w:rFonts w:asciiTheme="minorHAnsi" w:hAnsiTheme="minorHAnsi" w:cstheme="minorHAnsi"/>
          <w:sz w:val="17"/>
          <w:szCs w:val="17"/>
        </w:rPr>
        <w:t>” a través de los siguientes procesos de selección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: </w:t>
      </w:r>
    </w:p>
    <w:p w:rsidR="00EE7930" w:rsidRPr="005B1BB9" w:rsidRDefault="00EE7930" w:rsidP="00EE7930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6"/>
        <w:gridCol w:w="992"/>
      </w:tblGrid>
      <w:tr w:rsidR="006F4647" w:rsidRPr="00DE34B2" w:rsidTr="006F4647">
        <w:trPr>
          <w:trHeight w:val="4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b/>
                <w:sz w:val="16"/>
                <w:szCs w:val="16"/>
              </w:rPr>
              <w:t>DESCRIPCION DEL PROCESO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b/>
                <w:sz w:val="16"/>
                <w:szCs w:val="16"/>
              </w:rPr>
              <w:t>N° DE ITEMS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Tecnología de Análisis Químico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Producción Agropecuaria, Primer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Producción Agropecuaria, Segundo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Producción Agropecuaria, Tercer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Producción Agropecuaria, Cuarto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Mecánica de Producción Industrial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Industrias Alimentarias Primer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Industrias Alimentarias Segundo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Mecatrónica Automotriz Primer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</w:tr>
      <w:tr w:rsidR="006F4647" w:rsidRPr="00DE34B2" w:rsidTr="006F464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47" w:rsidRPr="00DE34B2" w:rsidRDefault="006F4647" w:rsidP="000925EA">
            <w:pPr>
              <w:spacing w:line="25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="Calibri"/>
                <w:color w:val="000000"/>
                <w:sz w:val="16"/>
                <w:szCs w:val="16"/>
              </w:rPr>
              <w:t>Adquisición de bienes para el equipamiento del Programa de Mecatrónica Automotriz Segundo Grupo - (FC N°014-2021)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47" w:rsidRPr="00DE34B2" w:rsidRDefault="006F4647" w:rsidP="000925EA">
            <w:pPr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34B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</w:tr>
    </w:tbl>
    <w:p w:rsidR="00EE7930" w:rsidRPr="005B1BB9" w:rsidRDefault="00EE7930" w:rsidP="00EE7930">
      <w:pPr>
        <w:jc w:val="both"/>
        <w:rPr>
          <w:rFonts w:asciiTheme="minorHAnsi" w:hAnsiTheme="minorHAnsi" w:cstheme="minorHAnsi"/>
          <w:sz w:val="20"/>
        </w:rPr>
      </w:pPr>
    </w:p>
    <w:p w:rsidR="00EE7930" w:rsidRDefault="00EE7930" w:rsidP="00EE7930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B1BB9">
        <w:rPr>
          <w:rFonts w:asciiTheme="minorHAnsi" w:hAnsiTheme="minorHAnsi" w:cstheme="minorHAnsi"/>
          <w:sz w:val="17"/>
          <w:szCs w:val="17"/>
        </w:rPr>
        <w:t>oferentes</w:t>
      </w:r>
      <w:r w:rsidRPr="005B1BB9">
        <w:rPr>
          <w:rFonts w:asciiTheme="minorHAnsi" w:hAnsiTheme="minorHAnsi" w:cstheme="minorHAnsi"/>
          <w:sz w:val="17"/>
          <w:szCs w:val="17"/>
        </w:rPr>
        <w:t xml:space="preserve">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DB1BB9">
        <w:rPr>
          <w:rFonts w:asciiTheme="minorHAnsi" w:hAnsiTheme="minorHAnsi" w:cstheme="minorHAnsi"/>
          <w:sz w:val="17"/>
          <w:szCs w:val="17"/>
        </w:rPr>
        <w:t xml:space="preserve">interesados de participar de dichos procesos, podrán </w:t>
      </w:r>
      <w:r w:rsidR="00514B0B">
        <w:rPr>
          <w:rFonts w:asciiTheme="minorHAnsi" w:hAnsiTheme="minorHAnsi" w:cstheme="minorHAnsi"/>
          <w:sz w:val="17"/>
          <w:szCs w:val="17"/>
        </w:rPr>
        <w:t xml:space="preserve">encontrar los Lineamientos y </w:t>
      </w:r>
      <w:r w:rsidR="00DB1BB9">
        <w:rPr>
          <w:rFonts w:asciiTheme="minorHAnsi" w:hAnsiTheme="minorHAnsi" w:cstheme="minorHAnsi"/>
          <w:sz w:val="17"/>
          <w:szCs w:val="17"/>
        </w:rPr>
        <w:t xml:space="preserve">obtener mayor </w:t>
      </w:r>
      <w:r>
        <w:rPr>
          <w:rFonts w:asciiTheme="minorHAnsi" w:hAnsiTheme="minorHAnsi" w:cstheme="minorHAnsi"/>
          <w:sz w:val="17"/>
          <w:szCs w:val="17"/>
        </w:rPr>
        <w:t xml:space="preserve">información </w:t>
      </w:r>
      <w:r w:rsidR="00DB1BB9">
        <w:rPr>
          <w:rFonts w:asciiTheme="minorHAnsi" w:hAnsiTheme="minorHAnsi" w:cstheme="minorHAnsi"/>
          <w:sz w:val="17"/>
          <w:szCs w:val="17"/>
        </w:rPr>
        <w:t xml:space="preserve">a través del </w:t>
      </w:r>
      <w:r w:rsidRPr="005B1BB9">
        <w:rPr>
          <w:rFonts w:asciiTheme="minorHAnsi" w:hAnsiTheme="minorHAnsi" w:cstheme="minorHAnsi"/>
          <w:sz w:val="17"/>
          <w:szCs w:val="17"/>
        </w:rPr>
        <w:t>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157C31" w:rsidRPr="003151B1">
          <w:rPr>
            <w:rStyle w:val="Hipervnculo"/>
          </w:rPr>
          <w:t xml:space="preserve"> </w:t>
        </w:r>
        <w:r w:rsidR="00157C31" w:rsidRPr="003151B1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https://www.pmesut.gob.pe/ps-solicitud-de-propuesta</w:t>
        </w:r>
      </w:hyperlink>
      <w:hyperlink r:id="rId9" w:history="1"/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="00DB1BB9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a partir del </w:t>
      </w:r>
      <w:r w:rsidR="008A7FA7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>07</w:t>
      </w:r>
      <w:r w:rsidR="00DB1BB9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de </w:t>
      </w:r>
      <w:r w:rsidR="008A7FA7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>marz</w:t>
      </w:r>
      <w:r w:rsidR="00DB1BB9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o del 2022. </w:t>
      </w:r>
    </w:p>
    <w:p w:rsidR="00EE7930" w:rsidRDefault="00EE7930" w:rsidP="00EE7930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EE7930" w:rsidRDefault="00E301C7" w:rsidP="00EE7930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Se precisa que e</w:t>
      </w:r>
      <w:r w:rsidR="00A10E32">
        <w:rPr>
          <w:rFonts w:asciiTheme="minorHAnsi" w:hAnsiTheme="minorHAnsi" w:cstheme="minorHAnsi"/>
          <w:sz w:val="17"/>
          <w:szCs w:val="17"/>
        </w:rPr>
        <w:t xml:space="preserve">l procedimiento para la selección de los oferentes </w:t>
      </w:r>
      <w:r w:rsidR="00FB6A12">
        <w:rPr>
          <w:rFonts w:asciiTheme="minorHAnsi" w:hAnsiTheme="minorHAnsi" w:cstheme="minorHAnsi"/>
          <w:sz w:val="17"/>
          <w:szCs w:val="17"/>
        </w:rPr>
        <w:t>seleccionado</w:t>
      </w:r>
      <w:r w:rsidR="00EE7930" w:rsidRPr="005B1BB9">
        <w:rPr>
          <w:rFonts w:asciiTheme="minorHAnsi" w:hAnsiTheme="minorHAnsi" w:cstheme="minorHAnsi"/>
          <w:sz w:val="17"/>
          <w:szCs w:val="17"/>
        </w:rPr>
        <w:t xml:space="preserve">s </w:t>
      </w:r>
      <w:r w:rsidR="00A10E32">
        <w:rPr>
          <w:rFonts w:asciiTheme="minorHAnsi" w:hAnsiTheme="minorHAnsi" w:cstheme="minorHAnsi"/>
          <w:sz w:val="17"/>
          <w:szCs w:val="17"/>
        </w:rPr>
        <w:t xml:space="preserve">se llevaran a cabo a través del </w:t>
      </w:r>
      <w:r w:rsidR="00EE7930" w:rsidRPr="005B1BB9">
        <w:rPr>
          <w:rFonts w:asciiTheme="minorHAnsi" w:hAnsiTheme="minorHAnsi" w:cstheme="minorHAnsi"/>
          <w:sz w:val="17"/>
          <w:szCs w:val="17"/>
        </w:rPr>
        <w:t xml:space="preserve">documento </w:t>
      </w:r>
      <w:hyperlink r:id="rId10" w:history="1">
        <w:r w:rsidR="00EE7930"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</w:t>
        </w:r>
        <w:r w:rsidR="00C3351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49</w:t>
        </w:r>
        <w:r w:rsidR="00EE7930"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-</w:t>
        </w:r>
        <w:r w:rsidR="00EE7930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="00EE7930"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</w:t>
        </w:r>
        <w:r w:rsidR="005847D1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Adquisición de Bienes y Obras Financiodas por </w:t>
        </w:r>
        <w:r w:rsidR="00EE7930"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el Banco</w:t>
        </w:r>
        <w:r w:rsidR="00EE7930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="00EE7930"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="00EE7930"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EE7930">
        <w:rPr>
          <w:rFonts w:asciiTheme="minorHAnsi" w:hAnsiTheme="minorHAnsi" w:cstheme="minorHAnsi"/>
          <w:sz w:val="17"/>
          <w:szCs w:val="17"/>
        </w:rPr>
        <w:t xml:space="preserve"> </w:t>
      </w:r>
      <w:r w:rsidR="00FB6A12">
        <w:rPr>
          <w:rFonts w:asciiTheme="minorHAnsi" w:hAnsiTheme="minorHAnsi" w:cstheme="minorHAnsi"/>
          <w:sz w:val="17"/>
          <w:szCs w:val="17"/>
        </w:rPr>
        <w:t>y podrán participar todas lo</w:t>
      </w:r>
      <w:r w:rsidR="00EE7930" w:rsidRPr="005B1BB9">
        <w:rPr>
          <w:rFonts w:asciiTheme="minorHAnsi" w:hAnsiTheme="minorHAnsi" w:cstheme="minorHAnsi"/>
          <w:sz w:val="17"/>
          <w:szCs w:val="17"/>
        </w:rPr>
        <w:t xml:space="preserve">s </w:t>
      </w:r>
      <w:r w:rsidR="00F97C30">
        <w:rPr>
          <w:rFonts w:asciiTheme="minorHAnsi" w:hAnsiTheme="minorHAnsi" w:cstheme="minorHAnsi"/>
          <w:sz w:val="17"/>
          <w:szCs w:val="17"/>
        </w:rPr>
        <w:t xml:space="preserve">oferentes </w:t>
      </w:r>
      <w:r w:rsidR="00EE7930" w:rsidRPr="005B1BB9">
        <w:rPr>
          <w:rFonts w:asciiTheme="minorHAnsi" w:hAnsiTheme="minorHAnsi" w:cstheme="minorHAnsi"/>
          <w:sz w:val="17"/>
          <w:szCs w:val="17"/>
        </w:rPr>
        <w:t>de países de origen que sean elegibles, según se especifica en dichas Políticas (</w:t>
      </w:r>
      <w:r w:rsidR="00EE7930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EE7930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EE7930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EE7930">
        <w:rPr>
          <w:rFonts w:asciiTheme="minorHAnsi" w:hAnsiTheme="minorHAnsi" w:cstheme="minorHAnsi"/>
          <w:sz w:val="17"/>
          <w:szCs w:val="17"/>
        </w:rPr>
        <w:t>).</w:t>
      </w:r>
    </w:p>
    <w:p w:rsidR="00EE7930" w:rsidRDefault="00EE7930" w:rsidP="00EE7930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DB1BB9" w:rsidRPr="005B1BB9" w:rsidRDefault="00DB1BB9" w:rsidP="00DB1BB9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>
        <w:rPr>
          <w:rFonts w:asciiTheme="minorHAnsi" w:hAnsiTheme="minorHAnsi" w:cstheme="minorHAnsi"/>
          <w:sz w:val="16"/>
          <w:szCs w:val="16"/>
        </w:rPr>
        <w:t xml:space="preserve"> - PMESUT - </w:t>
      </w: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DB1BB9" w:rsidRPr="005B1BB9" w:rsidRDefault="00DB1BB9" w:rsidP="00DB1BB9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Dirección: </w:t>
      </w: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</w:t>
      </w:r>
      <w:r>
        <w:rPr>
          <w:rFonts w:asciiTheme="minorHAnsi" w:hAnsiTheme="minorHAnsi" w:cstheme="minorHAnsi"/>
          <w:sz w:val="16"/>
          <w:szCs w:val="16"/>
        </w:rPr>
        <w:t xml:space="preserve"> 27</w:t>
      </w:r>
      <w:r w:rsidRPr="005B1BB9">
        <w:rPr>
          <w:rFonts w:asciiTheme="minorHAnsi" w:hAnsiTheme="minorHAnsi" w:cstheme="minorHAnsi"/>
          <w:sz w:val="16"/>
          <w:szCs w:val="16"/>
        </w:rPr>
        <w:t>, Perú</w:t>
      </w:r>
    </w:p>
    <w:p w:rsidR="00DB1BB9" w:rsidRDefault="00DB1BB9" w:rsidP="00DB1BB9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DB1BB9" w:rsidRPr="005B1BB9" w:rsidRDefault="00DB1BB9" w:rsidP="00DB1BB9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2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>Web site: www.pmesut.gob.pe</w:t>
      </w:r>
    </w:p>
    <w:p w:rsidR="00EE7930" w:rsidRPr="00EE7930" w:rsidRDefault="00EE7930" w:rsidP="00A331C1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</w:p>
    <w:sectPr w:rsidR="00EE7930" w:rsidRPr="00EE7930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BF" w:rsidRDefault="00EE18BF" w:rsidP="00AE3B0C">
      <w:r>
        <w:separator/>
      </w:r>
    </w:p>
  </w:endnote>
  <w:endnote w:type="continuationSeparator" w:id="0">
    <w:p w:rsidR="00EE18BF" w:rsidRDefault="00EE18BF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BF" w:rsidRDefault="00EE18BF" w:rsidP="00AE3B0C">
      <w:r>
        <w:separator/>
      </w:r>
    </w:p>
  </w:footnote>
  <w:footnote w:type="continuationSeparator" w:id="0">
    <w:p w:rsidR="00EE18BF" w:rsidRDefault="00EE18BF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17CE"/>
    <w:rsid w:val="00046554"/>
    <w:rsid w:val="00052910"/>
    <w:rsid w:val="00060318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7C31"/>
    <w:rsid w:val="0016187E"/>
    <w:rsid w:val="0016584F"/>
    <w:rsid w:val="001942B5"/>
    <w:rsid w:val="001A7B9D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33E2"/>
    <w:rsid w:val="00277686"/>
    <w:rsid w:val="00277A67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4B0B"/>
    <w:rsid w:val="00515DBE"/>
    <w:rsid w:val="00527878"/>
    <w:rsid w:val="005363E4"/>
    <w:rsid w:val="00541F51"/>
    <w:rsid w:val="00562B7E"/>
    <w:rsid w:val="00565B2A"/>
    <w:rsid w:val="005820E5"/>
    <w:rsid w:val="005847D1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5F7B7F"/>
    <w:rsid w:val="006028A3"/>
    <w:rsid w:val="00615098"/>
    <w:rsid w:val="00616126"/>
    <w:rsid w:val="00627603"/>
    <w:rsid w:val="00642342"/>
    <w:rsid w:val="00642F6C"/>
    <w:rsid w:val="006641EF"/>
    <w:rsid w:val="006A49F8"/>
    <w:rsid w:val="006B09D9"/>
    <w:rsid w:val="006C2A9C"/>
    <w:rsid w:val="006F4647"/>
    <w:rsid w:val="00705656"/>
    <w:rsid w:val="007114E4"/>
    <w:rsid w:val="00721803"/>
    <w:rsid w:val="007739BC"/>
    <w:rsid w:val="00782B91"/>
    <w:rsid w:val="00790390"/>
    <w:rsid w:val="007919B9"/>
    <w:rsid w:val="007B06A6"/>
    <w:rsid w:val="007C0BF7"/>
    <w:rsid w:val="007C30C3"/>
    <w:rsid w:val="007C74E8"/>
    <w:rsid w:val="007D5769"/>
    <w:rsid w:val="007F0AD9"/>
    <w:rsid w:val="007F1EA2"/>
    <w:rsid w:val="007F6819"/>
    <w:rsid w:val="008064B0"/>
    <w:rsid w:val="0081161A"/>
    <w:rsid w:val="00813E5A"/>
    <w:rsid w:val="00822C44"/>
    <w:rsid w:val="00843CA1"/>
    <w:rsid w:val="00845FAE"/>
    <w:rsid w:val="008477A3"/>
    <w:rsid w:val="00850455"/>
    <w:rsid w:val="008522D7"/>
    <w:rsid w:val="008530EC"/>
    <w:rsid w:val="00853FA9"/>
    <w:rsid w:val="00870D8F"/>
    <w:rsid w:val="0089245A"/>
    <w:rsid w:val="008A720A"/>
    <w:rsid w:val="008A7FA7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862DE"/>
    <w:rsid w:val="009D6D65"/>
    <w:rsid w:val="00A10E32"/>
    <w:rsid w:val="00A110F1"/>
    <w:rsid w:val="00A25DFC"/>
    <w:rsid w:val="00A31010"/>
    <w:rsid w:val="00A331C1"/>
    <w:rsid w:val="00A34F1A"/>
    <w:rsid w:val="00A47C24"/>
    <w:rsid w:val="00A50D59"/>
    <w:rsid w:val="00A5395B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6276E"/>
    <w:rsid w:val="00B7692F"/>
    <w:rsid w:val="00B83142"/>
    <w:rsid w:val="00B92838"/>
    <w:rsid w:val="00B9289D"/>
    <w:rsid w:val="00B94B29"/>
    <w:rsid w:val="00B97327"/>
    <w:rsid w:val="00BB796C"/>
    <w:rsid w:val="00BC3A4C"/>
    <w:rsid w:val="00BC5EE7"/>
    <w:rsid w:val="00BC68D4"/>
    <w:rsid w:val="00BD7FF1"/>
    <w:rsid w:val="00C0336E"/>
    <w:rsid w:val="00C06B02"/>
    <w:rsid w:val="00C33519"/>
    <w:rsid w:val="00C34A1F"/>
    <w:rsid w:val="00C4093E"/>
    <w:rsid w:val="00C610E9"/>
    <w:rsid w:val="00C75A00"/>
    <w:rsid w:val="00C760B8"/>
    <w:rsid w:val="00C83859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2091F"/>
    <w:rsid w:val="00D21E71"/>
    <w:rsid w:val="00D21EEA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A5AB9"/>
    <w:rsid w:val="00DB1BB9"/>
    <w:rsid w:val="00DB59C3"/>
    <w:rsid w:val="00DC64B2"/>
    <w:rsid w:val="00DD5E99"/>
    <w:rsid w:val="00DE2837"/>
    <w:rsid w:val="00DE34B2"/>
    <w:rsid w:val="00E00458"/>
    <w:rsid w:val="00E061CD"/>
    <w:rsid w:val="00E301C7"/>
    <w:rsid w:val="00E37CD7"/>
    <w:rsid w:val="00E559DD"/>
    <w:rsid w:val="00E75C13"/>
    <w:rsid w:val="00EB77DF"/>
    <w:rsid w:val="00EE0642"/>
    <w:rsid w:val="00EE18BF"/>
    <w:rsid w:val="00EE7930"/>
    <w:rsid w:val="00EF0C44"/>
    <w:rsid w:val="00EF5837"/>
    <w:rsid w:val="00EF68B5"/>
    <w:rsid w:val="00F0727E"/>
    <w:rsid w:val="00F15E70"/>
    <w:rsid w:val="00F170CA"/>
    <w:rsid w:val="00F21E01"/>
    <w:rsid w:val="00F26527"/>
    <w:rsid w:val="00F31A67"/>
    <w:rsid w:val="00F34DBC"/>
    <w:rsid w:val="00F41DCD"/>
    <w:rsid w:val="00F46566"/>
    <w:rsid w:val="00F46A19"/>
    <w:rsid w:val="00F51F55"/>
    <w:rsid w:val="00F52207"/>
    <w:rsid w:val="00F70B3D"/>
    <w:rsid w:val="00F8413F"/>
    <w:rsid w:val="00F90D4F"/>
    <w:rsid w:val="00F93A5F"/>
    <w:rsid w:val="00F97C30"/>
    <w:rsid w:val="00FB0A8B"/>
    <w:rsid w:val="00FB1BD0"/>
    <w:rsid w:val="00FB6A12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pmesut.gob.pe/ps-solicitud-de-propuest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7024-9B83-4170-8F2F-7A53CFD2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FRANCISCA VILLALOBOS VILLALOBOS</cp:lastModifiedBy>
  <cp:revision>5</cp:revision>
  <cp:lastPrinted>2020-01-23T15:32:00Z</cp:lastPrinted>
  <dcterms:created xsi:type="dcterms:W3CDTF">2022-03-04T15:52:00Z</dcterms:created>
  <dcterms:modified xsi:type="dcterms:W3CDTF">2022-03-04T21:46:00Z</dcterms:modified>
</cp:coreProperties>
</file>