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0C" w:rsidRDefault="00AE3B0C" w:rsidP="008A720A">
      <w:pPr>
        <w:ind w:left="-284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A331C1" w:rsidRDefault="005B1BB9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B1BB9">
        <w:rPr>
          <w:rFonts w:asciiTheme="minorHAnsi" w:hAnsiTheme="minorHAnsi" w:cstheme="minorHAnsi"/>
          <w:b/>
          <w:sz w:val="18"/>
          <w:szCs w:val="18"/>
          <w:u w:val="single"/>
        </w:rPr>
        <w:t>SOLICITUD DE</w:t>
      </w:r>
      <w:r w:rsidR="00A331C1" w:rsidRPr="005B1BB9">
        <w:rPr>
          <w:rFonts w:asciiTheme="minorHAnsi" w:hAnsiTheme="minorHAnsi" w:cstheme="minorHAnsi"/>
          <w:b/>
          <w:sz w:val="18"/>
          <w:szCs w:val="18"/>
          <w:u w:val="single"/>
        </w:rPr>
        <w:t xml:space="preserve"> EXPRESIONES DE INTERÉS</w:t>
      </w:r>
    </w:p>
    <w:p w:rsidR="00BF2F99" w:rsidRPr="00BF2F99" w:rsidRDefault="00BF2F99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(AMPLIACION DE PLAZO)</w:t>
      </w:r>
    </w:p>
    <w:p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B1BB9">
        <w:rPr>
          <w:rFonts w:asciiTheme="minorHAnsi" w:hAnsiTheme="minorHAnsi" w:cstheme="minorHAnsi"/>
          <w:b/>
          <w:sz w:val="18"/>
          <w:szCs w:val="18"/>
        </w:rPr>
        <w:t>PROGRAMA PARA LA MEJORA DE LA CALIDAD Y PERTINENCIA DE LOS SERVICIOS DE EDUCACIÓN SUPERIOR UNIVERSITARIA Y TECNOLÓGICA A NIVEL NACIONAL</w:t>
      </w:r>
      <w:r w:rsidR="00B4596A" w:rsidRPr="005B1BB9">
        <w:rPr>
          <w:rFonts w:asciiTheme="minorHAnsi" w:hAnsiTheme="minorHAnsi" w:cstheme="minorHAnsi"/>
          <w:b/>
          <w:sz w:val="18"/>
          <w:szCs w:val="18"/>
        </w:rPr>
        <w:t xml:space="preserve"> - PMESUT</w:t>
      </w:r>
      <w:r w:rsidRPr="005B1BB9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A331C1" w:rsidRPr="005B1BB9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A331C1" w:rsidRPr="005B1BB9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B1BB9">
        <w:rPr>
          <w:rFonts w:asciiTheme="minorHAnsi" w:hAnsiTheme="minorHAnsi" w:cstheme="minorHAnsi"/>
          <w:b/>
          <w:sz w:val="18"/>
          <w:szCs w:val="18"/>
        </w:rPr>
        <w:t>CONTRATO PRÉSTAMO BID No 4555/OC-PE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Pr="00EF0C44" w:rsidRDefault="00A331C1" w:rsidP="00EF0C44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En el marco del Contrato de Préstamo suscrito el 12 de setiembre de 2018 por el Gobierno de la República del Perú y el Banco Interamericano de Desarrollo (BID), la Unidad Ejecutora 118 Mejoramiento de la Calidad de la Educación Básica y Superior, </w:t>
      </w:r>
      <w:r w:rsidR="00A61AC9">
        <w:rPr>
          <w:rFonts w:asciiTheme="minorHAnsi" w:hAnsiTheme="minorHAnsi" w:cstheme="minorHAnsi"/>
          <w:sz w:val="17"/>
          <w:szCs w:val="17"/>
        </w:rPr>
        <w:t xml:space="preserve">a través 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del PMESUT se propone </w:t>
      </w:r>
      <w:r w:rsidRPr="005B1BB9">
        <w:rPr>
          <w:rFonts w:asciiTheme="minorHAnsi" w:hAnsiTheme="minorHAnsi" w:cstheme="minorHAnsi"/>
          <w:sz w:val="17"/>
          <w:szCs w:val="17"/>
        </w:rPr>
        <w:t xml:space="preserve">utilizar parte de los fondos del financiamiento para contratar 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los </w:t>
      </w:r>
      <w:r w:rsidRPr="005B1BB9">
        <w:rPr>
          <w:rFonts w:asciiTheme="minorHAnsi" w:hAnsiTheme="minorHAnsi" w:cstheme="minorHAnsi"/>
          <w:sz w:val="17"/>
          <w:szCs w:val="17"/>
        </w:rPr>
        <w:t>servicios de</w:t>
      </w:r>
      <w:r w:rsidR="00404FE0">
        <w:rPr>
          <w:rFonts w:asciiTheme="minorHAnsi" w:hAnsiTheme="minorHAnsi" w:cstheme="minorHAnsi"/>
          <w:sz w:val="17"/>
          <w:szCs w:val="17"/>
        </w:rPr>
        <w:t xml:space="preserve"> “</w:t>
      </w:r>
      <w:r w:rsidR="006C53B1">
        <w:rPr>
          <w:rFonts w:asciiTheme="minorHAnsi" w:hAnsiTheme="minorHAnsi" w:cstheme="minorHAnsi"/>
          <w:b/>
          <w:sz w:val="17"/>
          <w:szCs w:val="17"/>
        </w:rPr>
        <w:t>CONSULTORIA PARA DIFUNDIR EL PROCESO DE OPTIMIZACION DE LA OFERTA EDUCATIVA SUPERIOR TECNOLOGICA PUBLICA, A TRAVES DE LA ELABORACION DE PRODUCTOS COMUNICACIONALES DINAMICOS PARA LA TOMA DE DECISIONES DE LAS REGIONES</w:t>
      </w:r>
      <w:r w:rsidR="00404FE0">
        <w:rPr>
          <w:rFonts w:asciiTheme="minorHAnsi" w:hAnsiTheme="minorHAnsi" w:cstheme="minorHAnsi"/>
          <w:b/>
          <w:sz w:val="17"/>
          <w:szCs w:val="17"/>
        </w:rPr>
        <w:t>”</w:t>
      </w:r>
      <w:r w:rsidR="00D629FF">
        <w:rPr>
          <w:rFonts w:asciiTheme="minorHAnsi" w:hAnsiTheme="minorHAnsi" w:cstheme="minorHAnsi"/>
          <w:sz w:val="17"/>
          <w:szCs w:val="17"/>
        </w:rPr>
        <w:t>.</w:t>
      </w:r>
    </w:p>
    <w:p w:rsidR="00BC3A4C" w:rsidRPr="005B1BB9" w:rsidRDefault="00A331C1" w:rsidP="00A331C1">
      <w:pPr>
        <w:jc w:val="both"/>
        <w:rPr>
          <w:rFonts w:asciiTheme="minorHAnsi" w:hAnsiTheme="minorHAnsi" w:cstheme="minorHAnsi"/>
          <w:sz w:val="20"/>
        </w:rPr>
      </w:pPr>
      <w:r>
        <w:rPr>
          <w:rFonts w:ascii="Tahoma" w:hAnsi="Tahoma" w:cs="Tahoma"/>
          <w:sz w:val="14"/>
          <w:szCs w:val="14"/>
        </w:rPr>
        <w:t xml:space="preserve">       </w:t>
      </w:r>
      <w:r w:rsidR="00404FE0">
        <w:rPr>
          <w:rFonts w:ascii="Tahoma" w:hAnsi="Tahoma" w:cs="Tahoma"/>
          <w:sz w:val="14"/>
          <w:szCs w:val="14"/>
        </w:rPr>
        <w:tab/>
      </w:r>
      <w:r w:rsidR="00404FE0">
        <w:rPr>
          <w:rFonts w:ascii="Tahoma" w:hAnsi="Tahoma" w:cs="Tahoma"/>
          <w:sz w:val="14"/>
          <w:szCs w:val="14"/>
        </w:rPr>
        <w:tab/>
      </w:r>
      <w:r w:rsidR="00404FE0"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 xml:space="preserve">  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Las firmas</w:t>
      </w:r>
      <w:r w:rsidR="006E4652"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 xml:space="preserve">elegibles (persona jurídica), deberán proporcionar información </w:t>
      </w:r>
      <w:r w:rsidR="00AC3EAC">
        <w:rPr>
          <w:rFonts w:asciiTheme="minorHAnsi" w:hAnsiTheme="minorHAnsi" w:cstheme="minorHAnsi"/>
          <w:sz w:val="17"/>
          <w:szCs w:val="17"/>
        </w:rPr>
        <w:t>de su</w:t>
      </w:r>
      <w:r w:rsidRPr="005B1BB9">
        <w:rPr>
          <w:rFonts w:asciiTheme="minorHAnsi" w:hAnsiTheme="minorHAnsi" w:cstheme="minorHAnsi"/>
          <w:sz w:val="17"/>
          <w:szCs w:val="17"/>
        </w:rPr>
        <w:t xml:space="preserve"> experiencia en suministrar los servicios antes indicados (folletos, descripción de trabajos similares, experiencia en condiciones similares, historial de cumplimiento de contratos, etc.).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Asimismo, deberán completar los formularios</w:t>
      </w:r>
      <w:r w:rsidR="004A34AA" w:rsidRPr="005B1BB9"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 xml:space="preserve">que pueden obtener en el portal web: </w:t>
      </w:r>
      <w:hyperlink r:id="rId8" w:history="1">
        <w:r w:rsidR="001932FA" w:rsidRPr="00E347D5">
          <w:rPr>
            <w:rStyle w:val="Hipervnculo"/>
          </w:rPr>
          <w:t xml:space="preserve"> </w:t>
        </w:r>
        <w:r w:rsidR="001932FA" w:rsidRPr="00E347D5">
          <w:rPr>
            <w:rStyle w:val="Hipervnculo"/>
            <w:rFonts w:asciiTheme="minorHAnsi" w:hAnsiTheme="minorHAnsi" w:cstheme="minorHAnsi"/>
            <w:b/>
            <w:sz w:val="17"/>
            <w:szCs w:val="17"/>
          </w:rPr>
          <w:t xml:space="preserve">https://www.pmesut.gob.pe/ps-expresion-de-interes </w:t>
        </w:r>
      </w:hyperlink>
      <w:r w:rsidR="00AF280D">
        <w:rPr>
          <w:rStyle w:val="Hipervnculo"/>
          <w:rFonts w:asciiTheme="minorHAnsi" w:hAnsiTheme="minorHAnsi" w:cstheme="minorHAnsi"/>
          <w:b/>
          <w:color w:val="auto"/>
          <w:sz w:val="17"/>
          <w:szCs w:val="17"/>
        </w:rPr>
        <w:t>,</w:t>
      </w:r>
      <w:r w:rsidR="00AF280D" w:rsidRPr="00AF280D">
        <w:rPr>
          <w:rStyle w:val="Hipervnculo"/>
          <w:rFonts w:asciiTheme="minorHAnsi" w:hAnsiTheme="minorHAnsi" w:cstheme="minorHAnsi"/>
          <w:b/>
          <w:color w:val="auto"/>
          <w:sz w:val="17"/>
          <w:szCs w:val="17"/>
          <w:u w:val="none"/>
        </w:rPr>
        <w:t xml:space="preserve"> </w:t>
      </w:r>
      <w:r w:rsidR="00AF280D" w:rsidRPr="00AF280D">
        <w:rPr>
          <w:rStyle w:val="Hipervnculo"/>
          <w:rFonts w:asciiTheme="minorHAnsi" w:hAnsiTheme="minorHAnsi" w:cstheme="minorHAnsi"/>
          <w:color w:val="auto"/>
          <w:sz w:val="17"/>
          <w:szCs w:val="17"/>
          <w:u w:val="none"/>
        </w:rPr>
        <w:t>e</w:t>
      </w:r>
      <w:r w:rsidR="00AF280D">
        <w:rPr>
          <w:rFonts w:asciiTheme="minorHAnsi" w:hAnsiTheme="minorHAnsi" w:cstheme="minorHAnsi"/>
          <w:sz w:val="17"/>
          <w:szCs w:val="17"/>
        </w:rPr>
        <w:t>n el cual también encontrarán info</w:t>
      </w:r>
      <w:r w:rsidR="00D629FF">
        <w:rPr>
          <w:rFonts w:asciiTheme="minorHAnsi" w:hAnsiTheme="minorHAnsi" w:cstheme="minorHAnsi"/>
          <w:sz w:val="17"/>
          <w:szCs w:val="17"/>
        </w:rPr>
        <w:t>rmación adicional respecto al</w:t>
      </w:r>
      <w:r w:rsidR="006E4652">
        <w:rPr>
          <w:rFonts w:asciiTheme="minorHAnsi" w:hAnsiTheme="minorHAnsi" w:cstheme="minorHAnsi"/>
          <w:sz w:val="17"/>
          <w:szCs w:val="17"/>
        </w:rPr>
        <w:t xml:space="preserve"> servicio</w:t>
      </w:r>
      <w:r w:rsidR="00B01757">
        <w:rPr>
          <w:rFonts w:asciiTheme="minorHAnsi" w:hAnsiTheme="minorHAnsi" w:cstheme="minorHAnsi"/>
          <w:sz w:val="17"/>
          <w:szCs w:val="17"/>
        </w:rPr>
        <w:t>.</w:t>
      </w:r>
    </w:p>
    <w:p w:rsidR="001C58FA" w:rsidRDefault="001C58FA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F280D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firmas serán seleccionadas conforme a los procedimientos indicados en el documento </w:t>
      </w:r>
      <w:hyperlink r:id="rId9" w:history="1"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GN-2350-</w:t>
        </w:r>
        <w:r w:rsidR="00782CE7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15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Políticas para la Selección y Contratación de Consultores financiados por el Banco Interamericano de Desarrollo</w:t>
        </w:r>
      </w:hyperlink>
      <w:r w:rsidRPr="005B1BB9">
        <w:rPr>
          <w:rFonts w:asciiTheme="minorHAnsi" w:hAnsiTheme="minorHAnsi" w:cstheme="minorHAnsi"/>
          <w:sz w:val="17"/>
          <w:szCs w:val="17"/>
        </w:rPr>
        <w:t xml:space="preserve">, edición actual, </w:t>
      </w:r>
      <w:r w:rsidR="00117AA8" w:rsidRPr="00117AA8">
        <w:rPr>
          <w:rFonts w:asciiTheme="minorHAnsi" w:hAnsiTheme="minorHAnsi" w:cstheme="minorHAnsi"/>
          <w:sz w:val="17"/>
          <w:szCs w:val="17"/>
          <w:lang w:val="es-PE"/>
        </w:rPr>
        <w:t xml:space="preserve">mediante la Selección Basada en la </w:t>
      </w:r>
      <w:r w:rsidR="00117AA8">
        <w:rPr>
          <w:rFonts w:asciiTheme="minorHAnsi" w:hAnsiTheme="minorHAnsi" w:cstheme="minorHAnsi"/>
          <w:sz w:val="17"/>
          <w:szCs w:val="17"/>
          <w:lang w:val="es-PE"/>
        </w:rPr>
        <w:t>Calificación de los Consultores</w:t>
      </w:r>
      <w:r w:rsidR="00117AA8" w:rsidRPr="00117AA8">
        <w:rPr>
          <w:rFonts w:asciiTheme="minorHAnsi" w:hAnsiTheme="minorHAnsi" w:cstheme="minorHAnsi"/>
          <w:sz w:val="17"/>
          <w:szCs w:val="17"/>
          <w:lang w:val="es-PE"/>
        </w:rPr>
        <w:t xml:space="preserve"> (SCC) </w:t>
      </w:r>
      <w:r w:rsidR="00117AA8" w:rsidRPr="005B1BB9">
        <w:rPr>
          <w:rFonts w:asciiTheme="minorHAnsi" w:hAnsiTheme="minorHAnsi" w:cstheme="minorHAnsi"/>
          <w:sz w:val="17"/>
          <w:szCs w:val="17"/>
        </w:rPr>
        <w:t>y podrán participar todas las firmas de países de origen que sean elegibles, según se especifica en dichas Políticas (</w:t>
      </w:r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http://</w:t>
      </w:r>
      <w:hyperlink r:id="rId10" w:history="1">
        <w:r w:rsidR="00117AA8" w:rsidRPr="005B1BB9">
          <w:rPr>
            <w:rStyle w:val="Hipervnculo"/>
            <w:rFonts w:asciiTheme="minorHAnsi" w:hAnsiTheme="minorHAnsi" w:cstheme="minorHAnsi"/>
            <w:color w:val="auto"/>
            <w:sz w:val="17"/>
            <w:szCs w:val="17"/>
          </w:rPr>
          <w:t>www.iadb.org</w:t>
        </w:r>
      </w:hyperlink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/procurement</w:t>
      </w:r>
      <w:r w:rsidR="00117AA8">
        <w:rPr>
          <w:rFonts w:asciiTheme="minorHAnsi" w:hAnsiTheme="minorHAnsi" w:cstheme="minorHAnsi"/>
          <w:sz w:val="17"/>
          <w:szCs w:val="17"/>
        </w:rPr>
        <w:t>).</w:t>
      </w:r>
    </w:p>
    <w:p w:rsidR="00117AA8" w:rsidRDefault="00117AA8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Las expresiones de interés</w:t>
      </w:r>
      <w:r w:rsidR="00D73C24">
        <w:rPr>
          <w:rFonts w:asciiTheme="minorHAnsi" w:hAnsiTheme="minorHAnsi" w:cstheme="minorHAnsi"/>
          <w:sz w:val="17"/>
          <w:szCs w:val="17"/>
        </w:rPr>
        <w:t xml:space="preserve"> (firmadas en todos sus folios)</w:t>
      </w:r>
      <w:r w:rsidRPr="005B1BB9">
        <w:rPr>
          <w:rFonts w:asciiTheme="minorHAnsi" w:hAnsiTheme="minorHAnsi" w:cstheme="minorHAnsi"/>
          <w:sz w:val="17"/>
          <w:szCs w:val="17"/>
        </w:rPr>
        <w:t xml:space="preserve"> deberán ser enviadas a</w:t>
      </w:r>
      <w:r w:rsidR="00D629FF">
        <w:rPr>
          <w:rFonts w:asciiTheme="minorHAnsi" w:hAnsiTheme="minorHAnsi" w:cstheme="minorHAnsi"/>
          <w:sz w:val="17"/>
          <w:szCs w:val="17"/>
        </w:rPr>
        <w:t>l</w:t>
      </w:r>
      <w:r w:rsidRPr="005B1BB9">
        <w:rPr>
          <w:rFonts w:asciiTheme="minorHAnsi" w:hAnsiTheme="minorHAnsi" w:cstheme="minorHAnsi"/>
          <w:sz w:val="17"/>
          <w:szCs w:val="17"/>
        </w:rPr>
        <w:t xml:space="preserve"> correo electrónico indicado línea</w:t>
      </w:r>
      <w:r w:rsidR="00D629FF">
        <w:rPr>
          <w:rFonts w:asciiTheme="minorHAnsi" w:hAnsiTheme="minorHAnsi" w:cstheme="minorHAnsi"/>
          <w:sz w:val="17"/>
          <w:szCs w:val="17"/>
        </w:rPr>
        <w:t>s</w:t>
      </w:r>
      <w:r w:rsidRPr="005B1BB9">
        <w:rPr>
          <w:rFonts w:asciiTheme="minorHAnsi" w:hAnsiTheme="minorHAnsi" w:cstheme="minorHAnsi"/>
          <w:sz w:val="17"/>
          <w:szCs w:val="17"/>
        </w:rPr>
        <w:t xml:space="preserve"> abajo a más tardar a </w:t>
      </w:r>
      <w:r w:rsidR="00404D8E" w:rsidRPr="005B1BB9">
        <w:rPr>
          <w:rFonts w:asciiTheme="minorHAnsi" w:hAnsiTheme="minorHAnsi" w:cstheme="minorHAnsi"/>
          <w:sz w:val="17"/>
          <w:szCs w:val="17"/>
        </w:rPr>
        <w:t xml:space="preserve">las </w:t>
      </w:r>
      <w:r w:rsidR="00404D8E">
        <w:rPr>
          <w:rFonts w:asciiTheme="minorHAnsi" w:hAnsiTheme="minorHAnsi" w:cstheme="minorHAnsi"/>
          <w:b/>
          <w:sz w:val="17"/>
          <w:szCs w:val="17"/>
        </w:rPr>
        <w:t>17:00</w:t>
      </w:r>
      <w:r w:rsidRPr="005B1BB9">
        <w:rPr>
          <w:rFonts w:asciiTheme="minorHAnsi" w:hAnsiTheme="minorHAnsi" w:cstheme="minorHAnsi"/>
          <w:b/>
          <w:sz w:val="17"/>
          <w:szCs w:val="17"/>
        </w:rPr>
        <w:t xml:space="preserve"> horas del día </w:t>
      </w:r>
      <w:r w:rsidR="00BF2F99">
        <w:rPr>
          <w:rFonts w:asciiTheme="minorHAnsi" w:hAnsiTheme="minorHAnsi" w:cstheme="minorHAnsi"/>
          <w:b/>
          <w:sz w:val="17"/>
          <w:szCs w:val="17"/>
        </w:rPr>
        <w:t>13*</w:t>
      </w:r>
      <w:r w:rsidR="00F8413F" w:rsidRPr="005B1BB9">
        <w:rPr>
          <w:rFonts w:asciiTheme="minorHAnsi" w:hAnsiTheme="minorHAnsi" w:cstheme="minorHAnsi"/>
          <w:b/>
          <w:sz w:val="17"/>
          <w:szCs w:val="17"/>
        </w:rPr>
        <w:t xml:space="preserve"> de </w:t>
      </w:r>
      <w:r w:rsidR="00782CE7">
        <w:rPr>
          <w:rFonts w:asciiTheme="minorHAnsi" w:hAnsiTheme="minorHAnsi" w:cstheme="minorHAnsi"/>
          <w:b/>
          <w:sz w:val="17"/>
          <w:szCs w:val="17"/>
        </w:rPr>
        <w:t>octubre</w:t>
      </w:r>
      <w:r w:rsidR="00D629FF">
        <w:rPr>
          <w:rFonts w:asciiTheme="minorHAnsi" w:hAnsiTheme="minorHAnsi" w:cstheme="minorHAnsi"/>
          <w:b/>
          <w:sz w:val="17"/>
          <w:szCs w:val="17"/>
        </w:rPr>
        <w:t xml:space="preserve"> de 2020</w:t>
      </w:r>
      <w:r w:rsidRPr="005B1BB9">
        <w:rPr>
          <w:rFonts w:asciiTheme="minorHAnsi" w:hAnsiTheme="minorHAnsi" w:cstheme="minorHAnsi"/>
          <w:b/>
          <w:sz w:val="17"/>
          <w:szCs w:val="17"/>
        </w:rPr>
        <w:t>.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Pr="005B1BB9" w:rsidRDefault="00A331C1" w:rsidP="00A331C1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>Indicar en el asunto del envío de Expresión de Interés lo siguiente: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b/>
          <w:sz w:val="17"/>
          <w:szCs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A331C1" w:rsidRPr="005B1BB9" w:rsidTr="00A331C1"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C1" w:rsidRPr="005B1BB9" w:rsidRDefault="00A331C1">
            <w:pPr>
              <w:ind w:left="29" w:hanging="29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B1BB9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“Remite Expresión de Interés – </w:t>
            </w:r>
            <w:r w:rsidR="007F4720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SCC- </w:t>
            </w:r>
            <w:r w:rsidR="00485A73">
              <w:rPr>
                <w:rFonts w:asciiTheme="minorHAnsi" w:hAnsiTheme="minorHAnsi" w:cstheme="minorHAnsi"/>
                <w:b/>
                <w:sz w:val="17"/>
                <w:szCs w:val="17"/>
              </w:rPr>
              <w:t>Consultoría</w:t>
            </w:r>
            <w:r w:rsidR="00782CE7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para difundir el proceso de optimización de la oferta educativa superior tecnológica pública, a través de la elaboración de productos comunicacionales dinámicos para la toma de decisiones de las regiones</w:t>
            </w:r>
            <w:r w:rsidR="00D629FF">
              <w:rPr>
                <w:rFonts w:asciiTheme="minorHAnsi" w:hAnsiTheme="minorHAnsi" w:cstheme="minorHAnsi"/>
                <w:b/>
                <w:sz w:val="17"/>
                <w:szCs w:val="17"/>
              </w:rPr>
              <w:t>”</w:t>
            </w:r>
          </w:p>
          <w:p w:rsidR="00A331C1" w:rsidRPr="005B1BB9" w:rsidRDefault="00AF280D" w:rsidP="00D629FF">
            <w:pPr>
              <w:ind w:left="29" w:hanging="29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A331C1" w:rsidRPr="005B1BB9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UE 118 </w:t>
            </w: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>–</w:t>
            </w:r>
            <w:r w:rsidR="00A331C1" w:rsidRPr="005B1BB9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PMESUT </w:t>
            </w:r>
            <w:r w:rsidR="00A331C1" w:rsidRPr="005B1BB9">
              <w:rPr>
                <w:rFonts w:asciiTheme="minorHAnsi" w:hAnsiTheme="minorHAnsi" w:cstheme="minorHAnsi"/>
                <w:b/>
                <w:sz w:val="17"/>
                <w:szCs w:val="17"/>
              </w:rPr>
              <w:t>- Contrato Préstamo BID N° 4555/OC-PE</w:t>
            </w:r>
          </w:p>
        </w:tc>
      </w:tr>
    </w:tbl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>Programa para la Mejora de la Calidad y Pertinencia de los Servicios de Educación Superior Universitaria y Tecnológica a nivel nacional</w:t>
      </w:r>
      <w:r w:rsidR="00CA23A8">
        <w:rPr>
          <w:rFonts w:asciiTheme="minorHAnsi" w:hAnsiTheme="minorHAnsi" w:cstheme="minorHAnsi"/>
          <w:sz w:val="16"/>
          <w:szCs w:val="16"/>
        </w:rPr>
        <w:t xml:space="preserve"> - PMESUT</w:t>
      </w:r>
      <w:r w:rsidRPr="005B1BB9">
        <w:rPr>
          <w:rFonts w:asciiTheme="minorHAnsi" w:hAnsiTheme="minorHAnsi" w:cstheme="minorHAnsi"/>
          <w:sz w:val="16"/>
          <w:szCs w:val="16"/>
        </w:rPr>
        <w:t>.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Unidad Ejecutora 118 - Ministerio de Educación 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Calle </w:t>
      </w:r>
      <w:r w:rsidR="00DE2837">
        <w:rPr>
          <w:rFonts w:asciiTheme="minorHAnsi" w:hAnsiTheme="minorHAnsi" w:cstheme="minorHAnsi"/>
          <w:sz w:val="16"/>
          <w:szCs w:val="16"/>
        </w:rPr>
        <w:t>Los Laureles N° 399, San Isidro</w:t>
      </w:r>
      <w:r w:rsidRPr="005B1BB9">
        <w:rPr>
          <w:rFonts w:asciiTheme="minorHAnsi" w:hAnsiTheme="minorHAnsi" w:cstheme="minorHAnsi"/>
          <w:sz w:val="16"/>
          <w:szCs w:val="16"/>
        </w:rPr>
        <w:t>, Lima, Perú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Código </w:t>
      </w:r>
      <w:r w:rsidR="00DE2837">
        <w:rPr>
          <w:rFonts w:asciiTheme="minorHAnsi" w:hAnsiTheme="minorHAnsi" w:cstheme="minorHAnsi"/>
          <w:sz w:val="16"/>
          <w:szCs w:val="16"/>
        </w:rPr>
        <w:t>Postal: Lima 2</w:t>
      </w:r>
      <w:r w:rsidRPr="005B1BB9">
        <w:rPr>
          <w:rFonts w:asciiTheme="minorHAnsi" w:hAnsiTheme="minorHAnsi" w:cstheme="minorHAnsi"/>
          <w:sz w:val="16"/>
          <w:szCs w:val="16"/>
        </w:rPr>
        <w:t xml:space="preserve">7. Perú </w:t>
      </w:r>
    </w:p>
    <w:p w:rsidR="00D73C24" w:rsidRDefault="00D73C24" w:rsidP="00D73C24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Teléfonos: </w:t>
      </w:r>
      <w:r>
        <w:rPr>
          <w:rFonts w:asciiTheme="minorHAnsi" w:hAnsiTheme="minorHAnsi" w:cstheme="minorHAnsi"/>
          <w:sz w:val="16"/>
          <w:szCs w:val="16"/>
        </w:rPr>
        <w:t xml:space="preserve">00 511 4425500 – 4425502 – 4425503 </w:t>
      </w:r>
    </w:p>
    <w:p w:rsidR="00A331C1" w:rsidRPr="005B1BB9" w:rsidRDefault="00D73C24" w:rsidP="00D73C24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Correo electrónico: </w:t>
      </w:r>
      <w:hyperlink r:id="rId11" w:history="1">
        <w:r w:rsidRPr="00BD157A">
          <w:rPr>
            <w:rStyle w:val="Hipervnculo"/>
            <w:rFonts w:asciiTheme="minorHAnsi" w:hAnsiTheme="minorHAnsi" w:cstheme="minorHAnsi"/>
            <w:b/>
            <w:sz w:val="17"/>
            <w:szCs w:val="17"/>
          </w:rPr>
          <w:t>adquisiciones@pmesut.gob.pe</w:t>
        </w:r>
      </w:hyperlink>
      <w:r w:rsidRPr="00B10707">
        <w:rPr>
          <w:rStyle w:val="Hipervnculo"/>
          <w:rFonts w:asciiTheme="minorHAnsi" w:hAnsiTheme="minorHAnsi" w:cstheme="minorHAnsi"/>
          <w:b/>
          <w:sz w:val="17"/>
          <w:szCs w:val="17"/>
          <w:u w:val="none"/>
        </w:rPr>
        <w:t xml:space="preserve"> / </w:t>
      </w:r>
      <w:r>
        <w:rPr>
          <w:rStyle w:val="Hipervnculo"/>
          <w:rFonts w:asciiTheme="minorHAnsi" w:hAnsiTheme="minorHAnsi" w:cstheme="minorHAnsi"/>
          <w:b/>
          <w:sz w:val="17"/>
          <w:szCs w:val="17"/>
        </w:rPr>
        <w:t xml:space="preserve">Web </w:t>
      </w:r>
      <w:proofErr w:type="spellStart"/>
      <w:r>
        <w:rPr>
          <w:rStyle w:val="Hipervnculo"/>
          <w:rFonts w:asciiTheme="minorHAnsi" w:hAnsiTheme="minorHAnsi" w:cstheme="minorHAnsi"/>
          <w:b/>
          <w:sz w:val="17"/>
          <w:szCs w:val="17"/>
        </w:rPr>
        <w:t>site</w:t>
      </w:r>
      <w:proofErr w:type="spellEnd"/>
      <w:r>
        <w:rPr>
          <w:rStyle w:val="Hipervnculo"/>
          <w:rFonts w:asciiTheme="minorHAnsi" w:hAnsiTheme="minorHAnsi" w:cstheme="minorHAnsi"/>
          <w:b/>
          <w:sz w:val="17"/>
          <w:szCs w:val="17"/>
        </w:rPr>
        <w:t>: www.pmesut.gob.pe</w:t>
      </w:r>
    </w:p>
    <w:p w:rsidR="00AC6CB7" w:rsidRDefault="00AC6CB7" w:rsidP="00AC6CB7">
      <w:pPr>
        <w:jc w:val="both"/>
        <w:rPr>
          <w:rFonts w:ascii="Tahoma" w:hAnsi="Tahoma" w:cs="Tahoma"/>
          <w:sz w:val="20"/>
        </w:rPr>
      </w:pPr>
    </w:p>
    <w:p w:rsidR="00BF2F99" w:rsidRPr="00BF2F99" w:rsidRDefault="00BF2F99" w:rsidP="00BF2F99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*Se amplía la fecha 06 de octubre, que fuera consignada en el aviso p</w:t>
      </w:r>
      <w:r w:rsidR="00550AA6">
        <w:rPr>
          <w:rFonts w:ascii="Tahoma" w:hAnsi="Tahoma" w:cs="Tahoma"/>
          <w:sz w:val="20"/>
        </w:rPr>
        <w:t>ublicado en nuestra página web el 21.09.2020.</w:t>
      </w:r>
      <w:bookmarkStart w:id="0" w:name="_GoBack"/>
      <w:bookmarkEnd w:id="0"/>
    </w:p>
    <w:sectPr w:rsidR="00BF2F99" w:rsidRPr="00BF2F99" w:rsidSect="00D62344">
      <w:headerReference w:type="default" r:id="rId12"/>
      <w:pgSz w:w="11906" w:h="16838" w:code="9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4A6" w:rsidRDefault="00A604A6" w:rsidP="00AE3B0C">
      <w:r>
        <w:separator/>
      </w:r>
    </w:p>
  </w:endnote>
  <w:endnote w:type="continuationSeparator" w:id="0">
    <w:p w:rsidR="00A604A6" w:rsidRDefault="00A604A6" w:rsidP="00A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4A6" w:rsidRDefault="00A604A6" w:rsidP="00AE3B0C">
      <w:r>
        <w:separator/>
      </w:r>
    </w:p>
  </w:footnote>
  <w:footnote w:type="continuationSeparator" w:id="0">
    <w:p w:rsidR="00A604A6" w:rsidRDefault="00A604A6" w:rsidP="00AE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B0C" w:rsidRDefault="006C36CD" w:rsidP="00D3479A"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2768600</wp:posOffset>
              </wp:positionH>
              <wp:positionV relativeFrom="paragraph">
                <wp:posOffset>-95250</wp:posOffset>
              </wp:positionV>
              <wp:extent cx="2286000" cy="457200"/>
              <wp:effectExtent l="0" t="0" r="0" b="0"/>
              <wp:wrapNone/>
              <wp:docPr id="4" name="4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solidFill>
                        <a:sysClr val="windowText" lastClr="000000">
                          <a:lumMod val="65000"/>
                          <a:lumOff val="3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AE3B0C" w:rsidRPr="004759FD" w:rsidRDefault="00AE3B0C" w:rsidP="00AE3B0C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</w:pPr>
                          <w:r w:rsidRPr="004759FD">
                            <w:rPr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t>Mejoramiento de la Calidad de la Educación Básica</w:t>
                          </w:r>
                          <w:r w:rsidR="00B7692F">
                            <w:rPr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t xml:space="preserve"> y Superior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 Rectángulo" o:spid="_x0000_s1026" style="position:absolute;margin-left:218pt;margin-top:-7.5pt;width:180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" fillcolor="#595959" stroked="f" strokeweight="2pt">
              <v:path arrowok="t"/>
              <v:textbox>
                <w:txbxContent>
                  <w:p w:rsidR="00AE3B0C" w:rsidRPr="004759FD" w:rsidRDefault="00AE3B0C" w:rsidP="00AE3B0C">
                    <w:pPr>
                      <w:jc w:val="center"/>
                      <w:rPr>
                        <w:rFonts w:ascii="Arial" w:hAnsi="Arial" w:cs="Arial"/>
                        <w:color w:val="FFFFFF"/>
                        <w:sz w:val="22"/>
                        <w:szCs w:val="22"/>
                      </w:rPr>
                    </w:pPr>
                    <w:r w:rsidRPr="004759FD">
                      <w:rPr>
                        <w:rFonts w:ascii="Arial" w:hAnsi="Arial" w:cs="Arial"/>
                        <w:color w:val="FFFFFF"/>
                        <w:sz w:val="22"/>
                        <w:szCs w:val="22"/>
                      </w:rPr>
                      <w:t>Mejoramiento de la Calidad de la Educación Básica</w:t>
                    </w:r>
                    <w:r w:rsidR="00B7692F">
                      <w:rPr>
                        <w:rFonts w:ascii="Arial" w:hAnsi="Arial" w:cs="Arial"/>
                        <w:color w:val="FFFFFF"/>
                        <w:sz w:val="22"/>
                        <w:szCs w:val="22"/>
                      </w:rPr>
                      <w:t xml:space="preserve"> y Superior</w:t>
                    </w:r>
                  </w:p>
                </w:txbxContent>
              </v:textbox>
            </v:rect>
          </w:pict>
        </mc:Fallback>
      </mc:AlternateContent>
    </w:r>
    <w:r w:rsidR="00D3479A" w:rsidRPr="004759FD">
      <w:rPr>
        <w:noProof/>
        <w:sz w:val="22"/>
        <w:szCs w:val="22"/>
        <w:lang w:val="es-PE" w:eastAsia="es-P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-97790</wp:posOffset>
          </wp:positionV>
          <wp:extent cx="2752725" cy="457200"/>
          <wp:effectExtent l="0" t="0" r="0" b="0"/>
          <wp:wrapTight wrapText="bothSides">
            <wp:wrapPolygon edited="0">
              <wp:start x="0" y="0"/>
              <wp:lineTo x="0" y="20700"/>
              <wp:lineTo x="21525" y="20700"/>
              <wp:lineTo x="21525" y="0"/>
              <wp:lineTo x="0" y="0"/>
            </wp:wrapPolygon>
          </wp:wrapTight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8333"/>
                  <a:stretch/>
                </pic:blipFill>
                <pic:spPr bwMode="auto">
                  <a:xfrm>
                    <a:off x="0" y="0"/>
                    <a:ext cx="2752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D3479A" w:rsidRDefault="00D3479A" w:rsidP="00D3479A"/>
  <w:p w:rsidR="00D3479A" w:rsidRDefault="00D3479A" w:rsidP="00D347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1" w15:restartNumberingAfterBreak="0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174A21"/>
    <w:multiLevelType w:val="hybridMultilevel"/>
    <w:tmpl w:val="FDA68A10"/>
    <w:lvl w:ilvl="0" w:tplc="050C1DA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4" w15:restartNumberingAfterBreak="0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B7"/>
    <w:rsid w:val="000037AF"/>
    <w:rsid w:val="0000728F"/>
    <w:rsid w:val="00020DBF"/>
    <w:rsid w:val="00046554"/>
    <w:rsid w:val="00052910"/>
    <w:rsid w:val="000A3810"/>
    <w:rsid w:val="000A3A01"/>
    <w:rsid w:val="000C154E"/>
    <w:rsid w:val="000D66FE"/>
    <w:rsid w:val="000E72EC"/>
    <w:rsid w:val="000F7542"/>
    <w:rsid w:val="00117AA8"/>
    <w:rsid w:val="00143BD4"/>
    <w:rsid w:val="0016187E"/>
    <w:rsid w:val="0016584F"/>
    <w:rsid w:val="001932FA"/>
    <w:rsid w:val="001C58FA"/>
    <w:rsid w:val="001D1465"/>
    <w:rsid w:val="001D516A"/>
    <w:rsid w:val="001E5736"/>
    <w:rsid w:val="001F11B5"/>
    <w:rsid w:val="00204A08"/>
    <w:rsid w:val="00217859"/>
    <w:rsid w:val="00243365"/>
    <w:rsid w:val="002470D8"/>
    <w:rsid w:val="00255EB7"/>
    <w:rsid w:val="00263F67"/>
    <w:rsid w:val="00272FE5"/>
    <w:rsid w:val="0027591B"/>
    <w:rsid w:val="002B7053"/>
    <w:rsid w:val="002C1E17"/>
    <w:rsid w:val="002D409D"/>
    <w:rsid w:val="002E121B"/>
    <w:rsid w:val="002E299A"/>
    <w:rsid w:val="00336032"/>
    <w:rsid w:val="00341E2B"/>
    <w:rsid w:val="00377A67"/>
    <w:rsid w:val="0038426A"/>
    <w:rsid w:val="00385FD7"/>
    <w:rsid w:val="003A3835"/>
    <w:rsid w:val="003A496F"/>
    <w:rsid w:val="003C22C5"/>
    <w:rsid w:val="003C4155"/>
    <w:rsid w:val="003D2029"/>
    <w:rsid w:val="003D637C"/>
    <w:rsid w:val="00404D8E"/>
    <w:rsid w:val="00404FE0"/>
    <w:rsid w:val="0045231D"/>
    <w:rsid w:val="00460E72"/>
    <w:rsid w:val="004634EF"/>
    <w:rsid w:val="00485A73"/>
    <w:rsid w:val="004874FF"/>
    <w:rsid w:val="004957F4"/>
    <w:rsid w:val="004A34AA"/>
    <w:rsid w:val="004A4A42"/>
    <w:rsid w:val="004A72D7"/>
    <w:rsid w:val="004D2244"/>
    <w:rsid w:val="004D4052"/>
    <w:rsid w:val="004E3293"/>
    <w:rsid w:val="004F025B"/>
    <w:rsid w:val="004F52DD"/>
    <w:rsid w:val="00515DBE"/>
    <w:rsid w:val="005363E4"/>
    <w:rsid w:val="00550AA6"/>
    <w:rsid w:val="00562B7E"/>
    <w:rsid w:val="00565B2A"/>
    <w:rsid w:val="005820E5"/>
    <w:rsid w:val="00585ADE"/>
    <w:rsid w:val="00590BFE"/>
    <w:rsid w:val="00597D24"/>
    <w:rsid w:val="005B1BB9"/>
    <w:rsid w:val="005B363B"/>
    <w:rsid w:val="005C13E6"/>
    <w:rsid w:val="005C4E6B"/>
    <w:rsid w:val="005D379E"/>
    <w:rsid w:val="00642F6C"/>
    <w:rsid w:val="006A49F8"/>
    <w:rsid w:val="006B09D9"/>
    <w:rsid w:val="006C2A9C"/>
    <w:rsid w:val="006C36CD"/>
    <w:rsid w:val="006C53B1"/>
    <w:rsid w:val="006E32D5"/>
    <w:rsid w:val="006E4652"/>
    <w:rsid w:val="00705656"/>
    <w:rsid w:val="00721803"/>
    <w:rsid w:val="00757F70"/>
    <w:rsid w:val="007739BC"/>
    <w:rsid w:val="00782CE7"/>
    <w:rsid w:val="00790390"/>
    <w:rsid w:val="007919B9"/>
    <w:rsid w:val="007B06A6"/>
    <w:rsid w:val="007C0BF7"/>
    <w:rsid w:val="007C74E8"/>
    <w:rsid w:val="007F1EA2"/>
    <w:rsid w:val="007F4720"/>
    <w:rsid w:val="007F6819"/>
    <w:rsid w:val="00843CA1"/>
    <w:rsid w:val="008477A3"/>
    <w:rsid w:val="00850455"/>
    <w:rsid w:val="008530EC"/>
    <w:rsid w:val="00853FA9"/>
    <w:rsid w:val="0089245A"/>
    <w:rsid w:val="0089330F"/>
    <w:rsid w:val="008A720A"/>
    <w:rsid w:val="008B00B7"/>
    <w:rsid w:val="008B7111"/>
    <w:rsid w:val="008C125C"/>
    <w:rsid w:val="008C7D09"/>
    <w:rsid w:val="008F05F0"/>
    <w:rsid w:val="00925BD1"/>
    <w:rsid w:val="00943E8A"/>
    <w:rsid w:val="009462B2"/>
    <w:rsid w:val="00947D00"/>
    <w:rsid w:val="00951EF2"/>
    <w:rsid w:val="00956B71"/>
    <w:rsid w:val="0096747B"/>
    <w:rsid w:val="009862DE"/>
    <w:rsid w:val="009869DD"/>
    <w:rsid w:val="009A4C11"/>
    <w:rsid w:val="009B1FCA"/>
    <w:rsid w:val="009D6D65"/>
    <w:rsid w:val="009E2C42"/>
    <w:rsid w:val="00A32A34"/>
    <w:rsid w:val="00A331C1"/>
    <w:rsid w:val="00A34F1A"/>
    <w:rsid w:val="00A47C24"/>
    <w:rsid w:val="00A50D59"/>
    <w:rsid w:val="00A56992"/>
    <w:rsid w:val="00A604A6"/>
    <w:rsid w:val="00A61AC9"/>
    <w:rsid w:val="00A8581F"/>
    <w:rsid w:val="00A90D54"/>
    <w:rsid w:val="00AC3EAC"/>
    <w:rsid w:val="00AC6CB7"/>
    <w:rsid w:val="00AC7A58"/>
    <w:rsid w:val="00AE3B0C"/>
    <w:rsid w:val="00AF280D"/>
    <w:rsid w:val="00B01757"/>
    <w:rsid w:val="00B10CA2"/>
    <w:rsid w:val="00B418B4"/>
    <w:rsid w:val="00B4191A"/>
    <w:rsid w:val="00B41B3B"/>
    <w:rsid w:val="00B4596A"/>
    <w:rsid w:val="00B505E1"/>
    <w:rsid w:val="00B603C7"/>
    <w:rsid w:val="00B7692F"/>
    <w:rsid w:val="00B83142"/>
    <w:rsid w:val="00B9289D"/>
    <w:rsid w:val="00B94B29"/>
    <w:rsid w:val="00BC3A4C"/>
    <w:rsid w:val="00BC5EE7"/>
    <w:rsid w:val="00BC68D4"/>
    <w:rsid w:val="00BF2F99"/>
    <w:rsid w:val="00C0336E"/>
    <w:rsid w:val="00C06B02"/>
    <w:rsid w:val="00C4093E"/>
    <w:rsid w:val="00C610E9"/>
    <w:rsid w:val="00C75A00"/>
    <w:rsid w:val="00C95573"/>
    <w:rsid w:val="00CA23A8"/>
    <w:rsid w:val="00CB121F"/>
    <w:rsid w:val="00CD07B2"/>
    <w:rsid w:val="00CE7A58"/>
    <w:rsid w:val="00CF3F2C"/>
    <w:rsid w:val="00CF7C38"/>
    <w:rsid w:val="00D02C5F"/>
    <w:rsid w:val="00D14936"/>
    <w:rsid w:val="00D21E71"/>
    <w:rsid w:val="00D33DBB"/>
    <w:rsid w:val="00D3479A"/>
    <w:rsid w:val="00D35C74"/>
    <w:rsid w:val="00D40775"/>
    <w:rsid w:val="00D55EFB"/>
    <w:rsid w:val="00D62344"/>
    <w:rsid w:val="00D629FF"/>
    <w:rsid w:val="00D73C24"/>
    <w:rsid w:val="00D876E8"/>
    <w:rsid w:val="00DB59C3"/>
    <w:rsid w:val="00DC64B2"/>
    <w:rsid w:val="00DD5E99"/>
    <w:rsid w:val="00DE2837"/>
    <w:rsid w:val="00E061CD"/>
    <w:rsid w:val="00E37CD7"/>
    <w:rsid w:val="00E559DD"/>
    <w:rsid w:val="00E75C13"/>
    <w:rsid w:val="00EB77DF"/>
    <w:rsid w:val="00EE0642"/>
    <w:rsid w:val="00EF0C44"/>
    <w:rsid w:val="00EF657D"/>
    <w:rsid w:val="00F0727E"/>
    <w:rsid w:val="00F15E70"/>
    <w:rsid w:val="00F21E01"/>
    <w:rsid w:val="00F26527"/>
    <w:rsid w:val="00F31A67"/>
    <w:rsid w:val="00F34DBC"/>
    <w:rsid w:val="00F41DCD"/>
    <w:rsid w:val="00F43616"/>
    <w:rsid w:val="00F51F55"/>
    <w:rsid w:val="00F70B3D"/>
    <w:rsid w:val="00F8413F"/>
    <w:rsid w:val="00F93A5F"/>
    <w:rsid w:val="00FB0A8B"/>
    <w:rsid w:val="00FB1BD0"/>
    <w:rsid w:val="00FD62EB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2277E8E-4CE5-488F-90FA-E1085AD7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06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www.pmesut.gob.pe/ps-expresion-de-interes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quisiciones@pmesut.gob.p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ad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dc05.iadb.org/idbppis?pLanguage=SPANISH&amp;pMenuOption=oMenuPolici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3C65D-A578-408E-A4A5-7454F0BA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476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temp019</cp:lastModifiedBy>
  <cp:revision>8</cp:revision>
  <cp:lastPrinted>2019-05-14T19:41:00Z</cp:lastPrinted>
  <dcterms:created xsi:type="dcterms:W3CDTF">2020-06-27T04:31:00Z</dcterms:created>
  <dcterms:modified xsi:type="dcterms:W3CDTF">2020-10-05T20:48:00Z</dcterms:modified>
</cp:coreProperties>
</file>